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9A62A">
      <w:pPr>
        <w:ind w:firstLine="0" w:firstLineChars="0"/>
        <w:jc w:val="center"/>
        <w:rPr>
          <w:rFonts w:hint="eastAsia" w:ascii="仿宋_GB2312" w:hAnsi="仿宋_GB2312" w:eastAsia="仿宋_GB2312" w:cs="仿宋_GB2312"/>
          <w:sz w:val="48"/>
          <w:szCs w:val="48"/>
        </w:rPr>
      </w:pPr>
    </w:p>
    <w:p w14:paraId="4E0A7E79">
      <w:pPr>
        <w:ind w:firstLine="0" w:firstLineChars="0"/>
        <w:jc w:val="center"/>
        <w:rPr>
          <w:rFonts w:hint="eastAsia" w:ascii="方正小标宋简体" w:hAnsi="方正小标宋简体" w:eastAsia="方正小标宋简体"/>
          <w:sz w:val="72"/>
          <w:szCs w:val="72"/>
          <w:lang w:val="en-US" w:eastAsia="zh-CN"/>
        </w:rPr>
      </w:pPr>
      <w:bookmarkStart w:id="0" w:name="_Toc31069"/>
      <w:bookmarkStart w:id="13" w:name="_GoBack"/>
      <w:r>
        <w:rPr>
          <w:rFonts w:hint="eastAsia" w:ascii="方正小标宋简体" w:hAnsi="方正小标宋简体" w:eastAsia="方正小标宋简体"/>
          <w:sz w:val="72"/>
          <w:szCs w:val="72"/>
          <w:lang w:val="en-US" w:eastAsia="zh-CN"/>
        </w:rPr>
        <w:t>河南</w:t>
      </w:r>
      <w:r>
        <w:rPr>
          <w:rFonts w:hint="eastAsia" w:ascii="方正小标宋简体" w:hAnsi="方正小标宋简体" w:eastAsia="方正小标宋简体"/>
          <w:sz w:val="72"/>
          <w:szCs w:val="72"/>
        </w:rPr>
        <w:t>教育督导信息化平台</w:t>
      </w:r>
      <w:bookmarkEnd w:id="0"/>
      <w:r>
        <w:rPr>
          <w:rFonts w:hint="eastAsia" w:ascii="方正小标宋简体" w:hAnsi="方正小标宋简体" w:eastAsia="方正小标宋简体"/>
          <w:sz w:val="72"/>
          <w:szCs w:val="72"/>
          <w:lang w:val="en-US" w:eastAsia="zh-CN"/>
        </w:rPr>
        <w:t>操作手册</w:t>
      </w:r>
    </w:p>
    <w:bookmarkEnd w:id="13"/>
    <w:p w14:paraId="34AB011F">
      <w:pPr>
        <w:ind w:firstLine="0" w:firstLineChars="0"/>
        <w:jc w:val="center"/>
        <w:rPr>
          <w:rFonts w:hint="eastAsia" w:ascii="方正小标宋简体" w:hAnsi="方正小标宋简体" w:eastAsia="方正小标宋简体"/>
          <w:sz w:val="52"/>
          <w:szCs w:val="52"/>
          <w:lang w:val="en-US" w:eastAsia="zh-CN"/>
        </w:rPr>
      </w:pPr>
      <w:r>
        <w:rPr>
          <w:rFonts w:hint="eastAsia" w:ascii="方正小标宋简体" w:hAnsi="方正小标宋简体" w:eastAsia="方正小标宋简体"/>
          <w:sz w:val="52"/>
          <w:szCs w:val="52"/>
          <w:lang w:val="en-US" w:eastAsia="zh-CN"/>
        </w:rPr>
        <w:t>（高等学校、省属中等职业学校及厅直属实验学校）</w:t>
      </w:r>
    </w:p>
    <w:p w14:paraId="79BEFA65">
      <w:pPr>
        <w:ind w:firstLine="0" w:firstLineChars="0"/>
        <w:jc w:val="center"/>
        <w:rPr>
          <w:rFonts w:hint="eastAsia" w:ascii="方正小标宋简体" w:hAnsi="方正小标宋简体" w:eastAsia="方正小标宋简体" w:cs="宋体"/>
          <w:sz w:val="48"/>
          <w:szCs w:val="48"/>
        </w:rPr>
      </w:pPr>
    </w:p>
    <w:p w14:paraId="6C6658BC">
      <w:pPr>
        <w:ind w:firstLine="0" w:firstLineChars="0"/>
        <w:jc w:val="center"/>
        <w:rPr>
          <w:rFonts w:hint="eastAsia" w:ascii="方正小标宋简体" w:hAnsi="方正小标宋简体" w:eastAsia="方正小标宋简体" w:cs="宋体"/>
          <w:sz w:val="48"/>
          <w:szCs w:val="48"/>
        </w:rPr>
      </w:pPr>
    </w:p>
    <w:p w14:paraId="3C91CDB0">
      <w:pPr>
        <w:ind w:firstLine="0" w:firstLineChars="0"/>
        <w:jc w:val="center"/>
        <w:rPr>
          <w:rFonts w:hint="eastAsia" w:ascii="方正小标宋简体" w:hAnsi="方正小标宋简体" w:eastAsia="方正小标宋简体" w:cs="宋体"/>
          <w:sz w:val="48"/>
          <w:szCs w:val="48"/>
        </w:rPr>
      </w:pPr>
    </w:p>
    <w:p w14:paraId="60B4A8D6">
      <w:pPr>
        <w:ind w:firstLine="0" w:firstLineChars="0"/>
        <w:jc w:val="center"/>
        <w:rPr>
          <w:rFonts w:hint="eastAsia" w:ascii="方正小标宋简体" w:hAnsi="方正小标宋简体" w:eastAsia="方正小标宋简体" w:cs="宋体"/>
          <w:sz w:val="48"/>
          <w:szCs w:val="48"/>
        </w:rPr>
      </w:pPr>
    </w:p>
    <w:p w14:paraId="0DA3B2A4">
      <w:pPr>
        <w:ind w:firstLine="0" w:firstLineChars="0"/>
        <w:jc w:val="center"/>
        <w:rPr>
          <w:rFonts w:hint="eastAsia" w:ascii="方正小标宋简体" w:hAnsi="方正小标宋简体" w:eastAsia="方正小标宋简体"/>
          <w:sz w:val="52"/>
          <w:szCs w:val="52"/>
          <w:lang w:val="en-US" w:eastAsia="zh-CN"/>
        </w:rPr>
      </w:pPr>
      <w:r>
        <w:rPr>
          <w:rFonts w:hint="eastAsia" w:ascii="方正小标宋简体" w:hAnsi="方正小标宋简体" w:eastAsia="方正小标宋简体"/>
          <w:sz w:val="52"/>
          <w:szCs w:val="52"/>
          <w:lang w:val="en-US" w:eastAsia="zh-CN"/>
        </w:rPr>
        <w:t>河南省教育厅</w:t>
      </w:r>
    </w:p>
    <w:p w14:paraId="135E3914">
      <w:pPr>
        <w:ind w:firstLine="0" w:firstLineChars="0"/>
        <w:jc w:val="center"/>
        <w:rPr>
          <w:rFonts w:hint="default" w:ascii="方正小标宋简体" w:hAnsi="方正小标宋简体" w:eastAsia="方正小标宋简体"/>
          <w:sz w:val="52"/>
          <w:szCs w:val="52"/>
          <w:lang w:val="en-US" w:eastAsia="zh-CN"/>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sz w:val="52"/>
          <w:szCs w:val="52"/>
          <w:lang w:val="en-US" w:eastAsia="zh-CN"/>
        </w:rPr>
        <w:t>2026年04月</w:t>
      </w:r>
    </w:p>
    <w:sdt>
      <w:sdtPr>
        <w:rPr>
          <w:rFonts w:ascii="宋体" w:hAnsi="宋体" w:eastAsia="宋体" w:cs="Times New Roman"/>
          <w:kern w:val="2"/>
          <w:sz w:val="21"/>
          <w:szCs w:val="24"/>
          <w:lang w:val="en-US" w:eastAsia="zh-CN" w:bidi="ar-SA"/>
        </w:rPr>
        <w:id w:val="147474033"/>
        <w15:color w:val="DBDBDB"/>
        <w:docPartObj>
          <w:docPartGallery w:val="Table of Contents"/>
          <w:docPartUnique/>
        </w:docPartObj>
      </w:sdtPr>
      <w:sdtEndPr>
        <w:rPr>
          <w:rFonts w:hint="eastAsia" w:ascii="Calibri" w:hAnsi="Calibri" w:eastAsia="宋体" w:cs="Times New Roman"/>
          <w:kern w:val="2"/>
          <w:sz w:val="24"/>
          <w:szCs w:val="24"/>
          <w:lang w:val="en-US" w:eastAsia="zh-CN" w:bidi="ar-SA"/>
        </w:rPr>
      </w:sdtEndPr>
      <w:sdtContent>
        <w:p w14:paraId="7F6A3FD7">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72587937">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录</w:t>
          </w:r>
        </w:p>
        <w:p w14:paraId="560888DA">
          <w:pPr>
            <w:pStyle w:val="2"/>
            <w:rPr>
              <w:rFonts w:hint="eastAsia"/>
            </w:rPr>
          </w:pPr>
        </w:p>
        <w:p w14:paraId="426FE9B4">
          <w:pPr>
            <w:pStyle w:val="16"/>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TOC \o "1-2"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_Toc16294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1. </w:t>
          </w:r>
          <w:r>
            <w:rPr>
              <w:rFonts w:hint="eastAsia" w:ascii="宋体" w:hAnsi="宋体" w:eastAsia="宋体" w:cs="宋体"/>
              <w:szCs w:val="21"/>
              <w:lang w:val="en-US" w:eastAsia="zh-CN"/>
            </w:rPr>
            <w:t>系统登录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_Toc16294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08558A70">
          <w:pPr>
            <w:pStyle w:val="16"/>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_Toc9511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2. </w:t>
          </w:r>
          <w:r>
            <w:rPr>
              <w:rFonts w:hint="eastAsia" w:ascii="宋体" w:hAnsi="宋体" w:eastAsia="宋体" w:cs="宋体"/>
              <w:szCs w:val="21"/>
              <w:lang w:val="en-US" w:eastAsia="zh-CN"/>
            </w:rPr>
            <w:t>任务中心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_Toc9511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B555B5F">
          <w:pPr>
            <w:pStyle w:val="17"/>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_Toc19305 </w:instrText>
          </w:r>
          <w:r>
            <w:rPr>
              <w:rFonts w:hint="eastAsia" w:ascii="宋体" w:hAnsi="宋体" w:eastAsia="宋体" w:cs="宋体"/>
            </w:rPr>
            <w:fldChar w:fldCharType="separate"/>
          </w:r>
          <w:r>
            <w:rPr>
              <w:rFonts w:hint="eastAsia" w:ascii="宋体" w:hAnsi="宋体" w:eastAsia="宋体" w:cs="宋体"/>
              <w:bCs/>
              <w:szCs w:val="32"/>
              <w:lang w:val="en-US" w:eastAsia="zh-CN"/>
            </w:rPr>
            <w:t xml:space="preserve">2.1. </w:t>
          </w:r>
          <w:r>
            <w:rPr>
              <w:rFonts w:hint="eastAsia" w:ascii="宋体" w:hAnsi="宋体" w:eastAsia="宋体" w:cs="宋体"/>
              <w:lang w:val="en-US" w:eastAsia="zh-CN"/>
            </w:rPr>
            <w:t>待签收任务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_Toc19305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2CD59882">
          <w:pPr>
            <w:pStyle w:val="17"/>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_Toc7681 </w:instrText>
          </w:r>
          <w:r>
            <w:rPr>
              <w:rFonts w:hint="eastAsia" w:ascii="宋体" w:hAnsi="宋体" w:eastAsia="宋体" w:cs="宋体"/>
            </w:rPr>
            <w:fldChar w:fldCharType="separate"/>
          </w:r>
          <w:r>
            <w:rPr>
              <w:rFonts w:hint="eastAsia" w:ascii="宋体" w:hAnsi="宋体" w:eastAsia="宋体" w:cs="宋体"/>
              <w:bCs/>
              <w:szCs w:val="32"/>
              <w:lang w:val="en-US" w:eastAsia="zh-CN"/>
            </w:rPr>
            <w:t xml:space="preserve">2.2. </w:t>
          </w:r>
          <w:r>
            <w:rPr>
              <w:rFonts w:hint="eastAsia" w:ascii="宋体" w:hAnsi="宋体" w:eastAsia="宋体" w:cs="宋体"/>
              <w:lang w:val="en-US" w:eastAsia="zh-CN"/>
            </w:rPr>
            <w:t>已签收任务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_Toc7681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14:paraId="329C5752">
          <w:pPr>
            <w:pStyle w:val="16"/>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_Toc14613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3. </w:t>
          </w:r>
          <w:r>
            <w:rPr>
              <w:rFonts w:hint="eastAsia" w:ascii="宋体" w:hAnsi="宋体" w:eastAsia="宋体" w:cs="宋体"/>
              <w:szCs w:val="21"/>
              <w:lang w:val="en-US" w:eastAsia="zh-CN"/>
            </w:rPr>
            <w:t>填报中心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_Toc14613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5E63AA01">
          <w:pPr>
            <w:pStyle w:val="17"/>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_Toc18037 </w:instrText>
          </w:r>
          <w:r>
            <w:rPr>
              <w:rFonts w:hint="eastAsia" w:ascii="宋体" w:hAnsi="宋体" w:eastAsia="宋体" w:cs="宋体"/>
            </w:rPr>
            <w:fldChar w:fldCharType="separate"/>
          </w:r>
          <w:r>
            <w:rPr>
              <w:rFonts w:hint="eastAsia" w:ascii="宋体" w:hAnsi="宋体" w:eastAsia="宋体" w:cs="宋体"/>
              <w:bCs/>
              <w:szCs w:val="32"/>
              <w:lang w:val="en-US" w:eastAsia="zh-CN"/>
            </w:rPr>
            <w:t xml:space="preserve">3.1. </w:t>
          </w:r>
          <w:r>
            <w:rPr>
              <w:rFonts w:hint="eastAsia" w:ascii="宋体" w:hAnsi="宋体" w:eastAsia="宋体" w:cs="宋体"/>
              <w:lang w:val="en-US" w:eastAsia="zh-CN"/>
            </w:rPr>
            <w:t>待填报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_Toc18037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7A8C71AC">
          <w:pPr>
            <w:pStyle w:val="17"/>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_Toc31985 </w:instrText>
          </w:r>
          <w:r>
            <w:rPr>
              <w:rFonts w:hint="eastAsia" w:ascii="宋体" w:hAnsi="宋体" w:eastAsia="宋体" w:cs="宋体"/>
            </w:rPr>
            <w:fldChar w:fldCharType="separate"/>
          </w:r>
          <w:r>
            <w:rPr>
              <w:rFonts w:hint="eastAsia" w:ascii="宋体" w:hAnsi="宋体" w:eastAsia="宋体" w:cs="宋体"/>
              <w:bCs/>
              <w:szCs w:val="32"/>
              <w:lang w:val="en-US" w:eastAsia="zh-CN"/>
            </w:rPr>
            <w:t xml:space="preserve">3.2. </w:t>
          </w:r>
          <w:r>
            <w:rPr>
              <w:rFonts w:hint="eastAsia" w:ascii="宋体" w:hAnsi="宋体" w:eastAsia="宋体" w:cs="宋体"/>
              <w:lang w:val="en-US" w:eastAsia="zh-CN"/>
            </w:rPr>
            <w:t>审核中</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_Toc31985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14:paraId="7BF7D057">
          <w:pPr>
            <w:pStyle w:val="17"/>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_Toc3672 </w:instrText>
          </w:r>
          <w:r>
            <w:rPr>
              <w:rFonts w:hint="eastAsia" w:ascii="宋体" w:hAnsi="宋体" w:eastAsia="宋体" w:cs="宋体"/>
            </w:rPr>
            <w:fldChar w:fldCharType="separate"/>
          </w:r>
          <w:r>
            <w:rPr>
              <w:rFonts w:hint="eastAsia" w:ascii="宋体" w:hAnsi="宋体" w:eastAsia="宋体" w:cs="宋体"/>
              <w:bCs/>
              <w:szCs w:val="32"/>
              <w:lang w:val="en-US" w:eastAsia="zh-CN"/>
            </w:rPr>
            <w:t xml:space="preserve">3.3. </w:t>
          </w:r>
          <w:r>
            <w:rPr>
              <w:rFonts w:hint="eastAsia" w:ascii="宋体" w:hAnsi="宋体" w:eastAsia="宋体" w:cs="宋体"/>
              <w:lang w:val="en-US" w:eastAsia="zh-CN"/>
            </w:rPr>
            <w:t>退回整改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_Toc3672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rPr>
            <w:fldChar w:fldCharType="end"/>
          </w:r>
        </w:p>
        <w:p w14:paraId="04AC5B38">
          <w:pPr>
            <w:pStyle w:val="17"/>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_Toc2433 </w:instrText>
          </w:r>
          <w:r>
            <w:rPr>
              <w:rFonts w:hint="eastAsia" w:ascii="宋体" w:hAnsi="宋体" w:eastAsia="宋体" w:cs="宋体"/>
            </w:rPr>
            <w:fldChar w:fldCharType="separate"/>
          </w:r>
          <w:r>
            <w:rPr>
              <w:rFonts w:hint="eastAsia" w:ascii="宋体" w:hAnsi="宋体" w:eastAsia="宋体" w:cs="宋体"/>
              <w:bCs/>
              <w:szCs w:val="32"/>
              <w:lang w:val="en-US" w:eastAsia="zh-CN"/>
            </w:rPr>
            <w:t xml:space="preserve">3.4. </w:t>
          </w:r>
          <w:r>
            <w:rPr>
              <w:rFonts w:hint="eastAsia" w:ascii="宋体" w:hAnsi="宋体" w:eastAsia="宋体" w:cs="宋体"/>
              <w:lang w:val="en-US" w:eastAsia="zh-CN"/>
            </w:rPr>
            <w:t>审核通过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14:paraId="427427E7">
          <w:pPr>
            <w:pStyle w:val="16"/>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_Toc24601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4. </w:t>
          </w:r>
          <w:r>
            <w:rPr>
              <w:rFonts w:hint="eastAsia" w:ascii="宋体" w:hAnsi="宋体" w:eastAsia="宋体" w:cs="宋体"/>
              <w:szCs w:val="21"/>
              <w:lang w:val="en-US" w:eastAsia="zh-CN"/>
            </w:rPr>
            <w:t>数据中心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_Toc24601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14:paraId="61C0A06A">
          <w:pPr>
            <w:pStyle w:val="16"/>
            <w:keepNext w:val="0"/>
            <w:keepLines w:val="0"/>
            <w:pageBreakBefore w:val="0"/>
            <w:widowControl w:val="0"/>
            <w:tabs>
              <w:tab w:val="right" w:leader="dot" w:pos="8306"/>
            </w:tabs>
            <w:kinsoku/>
            <w:wordWrap/>
            <w:overflowPunct/>
            <w:topLinePunct w:val="0"/>
            <w:autoSpaceDE/>
            <w:autoSpaceDN/>
            <w:bidi w:val="0"/>
            <w:adjustRightInd/>
            <w:ind w:firstLine="0" w:firstLineChars="0"/>
            <w:textAlignment w:val="auto"/>
          </w:pPr>
          <w:r>
            <w:rPr>
              <w:rFonts w:hint="eastAsia" w:ascii="宋体" w:hAnsi="宋体" w:eastAsia="宋体" w:cs="宋体"/>
            </w:rPr>
            <w:fldChar w:fldCharType="begin"/>
          </w:r>
          <w:r>
            <w:rPr>
              <w:rFonts w:hint="eastAsia" w:ascii="宋体" w:hAnsi="宋体" w:eastAsia="宋体" w:cs="宋体"/>
            </w:rPr>
            <w:instrText xml:space="preserve"> HYPERLINK \l _Toc16783 </w:instrText>
          </w:r>
          <w:r>
            <w:rPr>
              <w:rFonts w:hint="eastAsia" w:ascii="宋体" w:hAnsi="宋体" w:eastAsia="宋体" w:cs="宋体"/>
            </w:rPr>
            <w:fldChar w:fldCharType="separate"/>
          </w:r>
          <w:r>
            <w:rPr>
              <w:rFonts w:hint="eastAsia" w:ascii="宋体" w:hAnsi="宋体" w:eastAsia="宋体" w:cs="宋体"/>
              <w:bCs/>
              <w:szCs w:val="36"/>
              <w:lang w:val="en-US" w:eastAsia="zh-CN"/>
            </w:rPr>
            <w:t xml:space="preserve">5. </w:t>
          </w:r>
          <w:r>
            <w:rPr>
              <w:rFonts w:hint="eastAsia" w:ascii="宋体" w:hAnsi="宋体" w:eastAsia="宋体" w:cs="宋体"/>
              <w:szCs w:val="21"/>
              <w:lang w:val="en-US" w:eastAsia="zh-CN"/>
            </w:rPr>
            <w:t>消息中心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_Toc16783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14:paraId="51570670">
          <w:pPr>
            <w:pStyle w:val="2"/>
            <w:ind w:left="0" w:leftChars="0" w:firstLine="0" w:firstLineChars="0"/>
            <w:rPr>
              <w:rFonts w:hint="eastAsia" w:ascii="Calibri" w:hAnsi="Calibri" w:eastAsia="宋体" w:cs="Times New Roman"/>
              <w:kern w:val="2"/>
              <w:sz w:val="24"/>
              <w:szCs w:val="24"/>
              <w:lang w:val="en-US" w:eastAsia="zh-CN" w:bidi="ar-SA"/>
            </w:rPr>
          </w:pPr>
          <w:r>
            <w:rPr>
              <w:rFonts w:hint="eastAsia" w:ascii="宋体" w:hAnsi="宋体" w:eastAsia="宋体" w:cs="宋体"/>
            </w:rPr>
            <w:fldChar w:fldCharType="end"/>
          </w:r>
        </w:p>
      </w:sdtContent>
    </w:sdt>
    <w:p w14:paraId="51A63DF9">
      <w:pPr>
        <w:pStyle w:val="2"/>
        <w:ind w:left="0" w:leftChars="0" w:firstLine="0" w:firstLineChars="0"/>
        <w:rPr>
          <w:rFonts w:hint="eastAsia" w:ascii="Calibri" w:hAnsi="Calibri" w:eastAsia="宋体" w:cs="Times New Roman"/>
          <w:kern w:val="2"/>
          <w:sz w:val="24"/>
          <w:szCs w:val="24"/>
          <w:lang w:val="en-US" w:eastAsia="zh-CN" w:bidi="ar-SA"/>
        </w:rPr>
        <w:sectPr>
          <w:pgSz w:w="11906" w:h="16838"/>
          <w:pgMar w:top="1440" w:right="1800" w:bottom="1440" w:left="1800" w:header="851" w:footer="992" w:gutter="0"/>
          <w:cols w:space="425" w:num="1"/>
          <w:docGrid w:type="lines" w:linePitch="312" w:charSpace="0"/>
        </w:sectPr>
      </w:pPr>
    </w:p>
    <w:p w14:paraId="66694E55">
      <w:pPr>
        <w:pStyle w:val="2"/>
        <w:ind w:left="0" w:leftChars="0" w:firstLine="0" w:firstLineChars="0"/>
        <w:rPr>
          <w:rFonts w:hint="eastAsia" w:ascii="Calibri" w:hAnsi="Calibri" w:eastAsia="宋体" w:cs="Times New Roman"/>
          <w:kern w:val="2"/>
          <w:sz w:val="24"/>
          <w:szCs w:val="24"/>
          <w:lang w:val="en-US" w:eastAsia="zh-CN" w:bidi="ar-SA"/>
        </w:rPr>
        <w:sectPr>
          <w:pgSz w:w="11906" w:h="16838"/>
          <w:pgMar w:top="1440" w:right="1800" w:bottom="1440" w:left="1800" w:header="851" w:footer="992" w:gutter="0"/>
          <w:cols w:space="425" w:num="1"/>
          <w:docGrid w:type="lines" w:linePitch="312" w:charSpace="0"/>
        </w:sectPr>
      </w:pPr>
    </w:p>
    <w:p w14:paraId="7E0FD156">
      <w:pPr>
        <w:pStyle w:val="4"/>
        <w:keepNext/>
        <w:keepLines/>
        <w:pageBreakBefore w:val="0"/>
        <w:widowControl w:val="0"/>
        <w:numPr>
          <w:ilvl w:val="0"/>
          <w:numId w:val="3"/>
        </w:numPr>
        <w:kinsoku/>
        <w:wordWrap/>
        <w:overflowPunct/>
        <w:topLinePunct w:val="0"/>
        <w:autoSpaceDE/>
        <w:autoSpaceDN/>
        <w:bidi w:val="0"/>
        <w:adjustRightInd/>
        <w:snapToGrid/>
        <w:spacing w:before="157" w:beforeLines="50" w:after="157" w:afterLines="50"/>
        <w:ind w:left="425" w:leftChars="0" w:hanging="425" w:firstLineChars="0"/>
        <w:textAlignment w:val="auto"/>
        <w:rPr>
          <w:rFonts w:hint="eastAsia" w:ascii="宋体" w:hAnsi="宋体" w:eastAsia="宋体" w:cs="宋体"/>
          <w:sz w:val="36"/>
          <w:szCs w:val="21"/>
          <w:lang w:val="en-US" w:eastAsia="zh-CN"/>
        </w:rPr>
      </w:pPr>
      <w:bookmarkStart w:id="1" w:name="_目__录"/>
      <w:bookmarkEnd w:id="1"/>
      <w:bookmarkStart w:id="2" w:name="_Toc16294"/>
      <w:r>
        <w:rPr>
          <w:rFonts w:hint="eastAsia" w:ascii="宋体" w:hAnsi="宋体" w:cs="宋体"/>
          <w:sz w:val="36"/>
          <w:szCs w:val="21"/>
          <w:lang w:val="en-US" w:eastAsia="zh-CN"/>
        </w:rPr>
        <w:t>系统登录</w:t>
      </w:r>
      <w:bookmarkEnd w:id="2"/>
    </w:p>
    <w:p w14:paraId="0E1FB7C6">
      <w:r>
        <w:rPr>
          <w:rFonts w:hint="eastAsia" w:ascii="仿宋_GB2312" w:hAnsi="仿宋_GB2312" w:eastAsia="仿宋_GB2312" w:cs="仿宋_GB2312"/>
          <w:sz w:val="28"/>
          <w:szCs w:val="28"/>
          <w:lang w:val="en-US" w:eastAsia="zh-CN"/>
        </w:rPr>
        <w:t>输入系统访问网址（https://jydd.jyt.henan.gov.cn/），跳转至登录页面后输入账号、密码（初始密码为：Dudao@123456）及验证码信息，点击“立即登录”按钮即可进入系统开展相应工作。</w:t>
      </w:r>
    </w:p>
    <w:p w14:paraId="7662DF85">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6690" cy="2614295"/>
            <wp:effectExtent l="0" t="0" r="10160" b="14605"/>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7"/>
                    <a:stretch>
                      <a:fillRect/>
                    </a:stretch>
                  </pic:blipFill>
                  <pic:spPr>
                    <a:xfrm>
                      <a:off x="0" y="0"/>
                      <a:ext cx="5266690" cy="2614295"/>
                    </a:xfrm>
                    <a:prstGeom prst="rect">
                      <a:avLst/>
                    </a:prstGeom>
                  </pic:spPr>
                </pic:pic>
              </a:graphicData>
            </a:graphic>
          </wp:inline>
        </w:drawing>
      </w:r>
    </w:p>
    <w:p w14:paraId="3C434C81">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点击“账号输入窗口”右上角的图标，可显示“移动端”下载界面，使用手机浏览器扫描界面中的二维码即可下载安装“移动端”。</w:t>
      </w:r>
    </w:p>
    <w:p w14:paraId="2B6B330F">
      <w:pPr>
        <w:pStyle w:val="2"/>
        <w:ind w:left="0" w:leftChars="0" w:firstLine="0" w:firstLineChars="0"/>
        <w:rPr>
          <w:rFonts w:hint="eastAsia"/>
          <w:lang w:val="en-US" w:eastAsia="zh-CN"/>
        </w:rPr>
      </w:pPr>
      <w:r>
        <w:rPr>
          <w:rFonts w:hint="eastAsia"/>
          <w:lang w:val="en-US" w:eastAsia="zh-CN"/>
        </w:rPr>
        <w:drawing>
          <wp:inline distT="0" distB="0" distL="114300" distR="114300">
            <wp:extent cx="5266690" cy="2614295"/>
            <wp:effectExtent l="0" t="0" r="10160" b="14605"/>
            <wp:docPr id="15" name="图片 15" descr="企业微信截图_1775700972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企业微信截图_17757009722142"/>
                    <pic:cNvPicPr>
                      <a:picLocks noChangeAspect="1"/>
                    </pic:cNvPicPr>
                  </pic:nvPicPr>
                  <pic:blipFill>
                    <a:blip r:embed="rId8"/>
                    <a:stretch>
                      <a:fillRect/>
                    </a:stretch>
                  </pic:blipFill>
                  <pic:spPr>
                    <a:xfrm>
                      <a:off x="0" y="0"/>
                      <a:ext cx="5266690" cy="2614295"/>
                    </a:xfrm>
                    <a:prstGeom prst="rect">
                      <a:avLst/>
                    </a:prstGeom>
                  </pic:spPr>
                </pic:pic>
              </a:graphicData>
            </a:graphic>
          </wp:inline>
        </w:drawing>
      </w:r>
    </w:p>
    <w:p w14:paraId="4600AE0A">
      <w:pPr>
        <w:bidi w:val="0"/>
        <w:ind w:left="0" w:leftChars="0" w:firstLine="0" w:firstLineChars="0"/>
      </w:pPr>
      <w:r>
        <w:rPr>
          <w:rFonts w:hint="eastAsia"/>
          <w:lang w:val="en-US" w:eastAsia="zh-CN"/>
        </w:rPr>
        <w:drawing>
          <wp:inline distT="0" distB="0" distL="114300" distR="114300">
            <wp:extent cx="5266690" cy="2614295"/>
            <wp:effectExtent l="0" t="0" r="10160" b="14605"/>
            <wp:docPr id="28"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
                    <pic:cNvPicPr>
                      <a:picLocks noChangeAspect="1"/>
                    </pic:cNvPicPr>
                  </pic:nvPicPr>
                  <pic:blipFill>
                    <a:blip r:embed="rId9"/>
                    <a:stretch>
                      <a:fillRect/>
                    </a:stretch>
                  </pic:blipFill>
                  <pic:spPr>
                    <a:xfrm>
                      <a:off x="0" y="0"/>
                      <a:ext cx="5266690" cy="2614295"/>
                    </a:xfrm>
                    <a:prstGeom prst="rect">
                      <a:avLst/>
                    </a:prstGeom>
                  </pic:spPr>
                </pic:pic>
              </a:graphicData>
            </a:graphic>
          </wp:inline>
        </w:drawing>
      </w:r>
    </w:p>
    <w:p w14:paraId="39F6C9A9">
      <w:pPr>
        <w:bidi w:val="0"/>
        <w:rPr>
          <w:rFonts w:hint="eastAsia" w:ascii="仿宋_GB2312" w:hAnsi="仿宋_GB2312" w:eastAsia="仿宋_GB2312" w:cs="仿宋_GB2312"/>
          <w:color w:val="FF0000"/>
          <w:sz w:val="28"/>
          <w:szCs w:val="28"/>
          <w:lang w:val="en-US" w:eastAsia="zh-CN"/>
        </w:rPr>
      </w:pPr>
      <w:r>
        <w:rPr>
          <w:rFonts w:hint="eastAsia" w:ascii="仿宋_GB2312" w:hAnsi="仿宋_GB2312" w:eastAsia="仿宋_GB2312" w:cs="仿宋_GB2312"/>
          <w:color w:val="auto"/>
          <w:sz w:val="28"/>
          <w:szCs w:val="28"/>
          <w:lang w:val="en-US" w:eastAsia="zh-CN"/>
        </w:rPr>
        <w:t>除通过系统访问地址登录外，河南教育督导信息化平台（以下简称：督导平台）已与河南省教育厅协同办公平台（以下简称：OA平台）进行对接，OA平台首页右上方设有督导平台跳转链接，用户登录OA平台后点击跳转链接，可直接跳转至督导平台开展相应工作，无需再次登录。</w:t>
      </w:r>
    </w:p>
    <w:p w14:paraId="53C3CF59">
      <w:pPr>
        <w:pStyle w:val="2"/>
        <w:ind w:left="0" w:leftChars="0" w:firstLine="0" w:firstLineChars="0"/>
      </w:pPr>
      <w:r>
        <w:rPr>
          <w:color w:val="FF0000"/>
        </w:rPr>
        <w:drawing>
          <wp:inline distT="0" distB="0" distL="114300" distR="114300">
            <wp:extent cx="5260340" cy="2626995"/>
            <wp:effectExtent l="0" t="0" r="1651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0"/>
                    <a:stretch>
                      <a:fillRect/>
                    </a:stretch>
                  </pic:blipFill>
                  <pic:spPr>
                    <a:xfrm>
                      <a:off x="0" y="0"/>
                      <a:ext cx="5260340" cy="2626995"/>
                    </a:xfrm>
                    <a:prstGeom prst="rect">
                      <a:avLst/>
                    </a:prstGeom>
                    <a:noFill/>
                    <a:ln>
                      <a:noFill/>
                    </a:ln>
                  </pic:spPr>
                </pic:pic>
              </a:graphicData>
            </a:graphic>
          </wp:inline>
        </w:drawing>
      </w:r>
    </w:p>
    <w:p w14:paraId="6A2047D1">
      <w:pPr>
        <w:bidi w:val="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若是第一次登录系统，需按照页面提示修改登录密码，若不修改则无法正常访问系统，开展相应工作。密码长度在8到20个字符，必须包含大小写字母、数字和特殊符号，新密码不能与旧密码相同。</w:t>
      </w:r>
    </w:p>
    <w:p w14:paraId="55A05D87">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bCs/>
          <w:color w:val="FF0000"/>
          <w:sz w:val="28"/>
          <w:szCs w:val="28"/>
          <w:lang w:val="en-US" w:eastAsia="zh-CN"/>
        </w:rPr>
      </w:pPr>
      <w:r>
        <w:drawing>
          <wp:inline distT="0" distB="0" distL="114300" distR="114300">
            <wp:extent cx="5266690" cy="2611755"/>
            <wp:effectExtent l="0" t="0" r="10160" b="17145"/>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11"/>
                    <a:stretch>
                      <a:fillRect/>
                    </a:stretch>
                  </pic:blipFill>
                  <pic:spPr>
                    <a:xfrm>
                      <a:off x="0" y="0"/>
                      <a:ext cx="5266690" cy="2611755"/>
                    </a:xfrm>
                    <a:prstGeom prst="rect">
                      <a:avLst/>
                    </a:prstGeom>
                    <a:noFill/>
                    <a:ln>
                      <a:noFill/>
                    </a:ln>
                  </pic:spPr>
                </pic:pic>
              </a:graphicData>
            </a:graphic>
          </wp:inline>
        </w:drawing>
      </w:r>
    </w:p>
    <w:p w14:paraId="5D9045EF">
      <w:pPr>
        <w:bidi w:val="0"/>
      </w:pPr>
    </w:p>
    <w:p w14:paraId="006AFD4F">
      <w:pPr>
        <w:pStyle w:val="4"/>
        <w:keepNext/>
        <w:keepLines/>
        <w:pageBreakBefore w:val="0"/>
        <w:widowControl w:val="0"/>
        <w:numPr>
          <w:ilvl w:val="0"/>
          <w:numId w:val="3"/>
        </w:numPr>
        <w:kinsoku/>
        <w:wordWrap/>
        <w:overflowPunct/>
        <w:topLinePunct w:val="0"/>
        <w:autoSpaceDE/>
        <w:autoSpaceDN/>
        <w:bidi w:val="0"/>
        <w:adjustRightInd/>
        <w:snapToGrid/>
        <w:spacing w:before="157" w:beforeLines="50" w:after="157" w:afterLines="50"/>
        <w:ind w:left="425" w:leftChars="0" w:hanging="425" w:firstLineChars="0"/>
        <w:textAlignment w:val="auto"/>
        <w:rPr>
          <w:rFonts w:hint="eastAsia" w:ascii="宋体" w:hAnsi="宋体" w:cs="宋体"/>
          <w:sz w:val="36"/>
          <w:szCs w:val="21"/>
          <w:lang w:val="en-US" w:eastAsia="zh-CN"/>
        </w:rPr>
      </w:pPr>
      <w:bookmarkStart w:id="3" w:name="_Toc9511"/>
      <w:r>
        <w:rPr>
          <w:rFonts w:hint="eastAsia" w:ascii="宋体" w:hAnsi="宋体" w:cs="宋体"/>
          <w:sz w:val="36"/>
          <w:szCs w:val="21"/>
          <w:lang w:val="en-US" w:eastAsia="zh-CN"/>
        </w:rPr>
        <w:t>任务中心</w:t>
      </w:r>
      <w:bookmarkEnd w:id="3"/>
    </w:p>
    <w:p w14:paraId="7764ABFE">
      <w:pPr>
        <w:pStyle w:val="5"/>
        <w:numPr>
          <w:ilvl w:val="1"/>
          <w:numId w:val="3"/>
        </w:numPr>
        <w:bidi w:val="0"/>
        <w:ind w:left="567" w:leftChars="0" w:hanging="567" w:firstLineChars="0"/>
        <w:rPr>
          <w:rFonts w:hint="eastAsia" w:ascii="宋体" w:hAnsi="宋体" w:eastAsia="宋体" w:cs="宋体"/>
          <w:lang w:val="en-US" w:eastAsia="zh-CN"/>
        </w:rPr>
      </w:pPr>
      <w:bookmarkStart w:id="4" w:name="_Toc19305"/>
      <w:r>
        <w:rPr>
          <w:rFonts w:hint="eastAsia" w:ascii="宋体" w:hAnsi="宋体" w:eastAsia="宋体" w:cs="宋体"/>
          <w:lang w:val="en-US" w:eastAsia="zh-CN"/>
        </w:rPr>
        <w:t>待签收任务</w:t>
      </w:r>
      <w:bookmarkEnd w:id="4"/>
    </w:p>
    <w:p w14:paraId="38E59A6E">
      <w:pPr>
        <w:rPr>
          <w:rFonts w:hint="eastAsia"/>
          <w:lang w:val="en-US" w:eastAsia="zh-CN"/>
        </w:rPr>
      </w:pPr>
      <w:r>
        <w:rPr>
          <w:rFonts w:hint="eastAsia" w:ascii="仿宋_GB2312" w:hAnsi="仿宋_GB2312" w:eastAsia="仿宋_GB2312" w:cs="仿宋_GB2312"/>
          <w:sz w:val="28"/>
          <w:szCs w:val="28"/>
          <w:lang w:val="en-US" w:eastAsia="zh-CN"/>
        </w:rPr>
        <w:t>以列表的形式展示由省厅创建分发至本单位，需本单位签收落实办理的任务事项，任务事项分为需要反馈和无需反馈两类。列表上方设有查询筛选栏，可按照查询条件筛选定位。任务事项行设有“查看”及“签收”两个按钮。</w:t>
      </w:r>
    </w:p>
    <w:p w14:paraId="3420333F">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点击“查看”按钮即可进入详情页面查阅任务事项的具体信息。</w:t>
      </w:r>
    </w:p>
    <w:p w14:paraId="7753D471">
      <w:pPr>
        <w:bidi w:val="0"/>
        <w:ind w:left="0" w:leftChars="0" w:firstLine="0" w:firstLineChars="0"/>
      </w:pPr>
      <w:r>
        <w:drawing>
          <wp:inline distT="0" distB="0" distL="114300" distR="114300">
            <wp:extent cx="5266690" cy="2592070"/>
            <wp:effectExtent l="0" t="0" r="1016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66690" cy="2592070"/>
                    </a:xfrm>
                    <a:prstGeom prst="rect">
                      <a:avLst/>
                    </a:prstGeom>
                    <a:noFill/>
                    <a:ln>
                      <a:noFill/>
                    </a:ln>
                  </pic:spPr>
                </pic:pic>
              </a:graphicData>
            </a:graphic>
          </wp:inline>
        </w:drawing>
      </w:r>
    </w:p>
    <w:p w14:paraId="507FBF6D">
      <w:pPr>
        <w:bidi w:val="0"/>
        <w:ind w:left="0" w:leftChars="0" w:firstLine="0" w:firstLineChars="0"/>
        <w:rPr>
          <w:rFonts w:hint="eastAsia"/>
          <w:lang w:val="en-US" w:eastAsia="zh-CN"/>
        </w:rPr>
      </w:pPr>
      <w:r>
        <w:drawing>
          <wp:inline distT="0" distB="0" distL="114300" distR="114300">
            <wp:extent cx="5267325" cy="2613025"/>
            <wp:effectExtent l="0" t="0" r="952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267325" cy="2613025"/>
                    </a:xfrm>
                    <a:prstGeom prst="rect">
                      <a:avLst/>
                    </a:prstGeom>
                    <a:noFill/>
                    <a:ln>
                      <a:noFill/>
                    </a:ln>
                  </pic:spPr>
                </pic:pic>
              </a:graphicData>
            </a:graphic>
          </wp:inline>
        </w:drawing>
      </w:r>
    </w:p>
    <w:p w14:paraId="05A916C1">
      <w:pPr>
        <w:rPr>
          <w:rFonts w:hint="eastAsia"/>
          <w:lang w:val="en-US" w:eastAsia="zh-CN"/>
        </w:rPr>
      </w:pPr>
      <w:r>
        <w:rPr>
          <w:rFonts w:hint="eastAsia" w:ascii="仿宋_GB2312" w:hAnsi="仿宋_GB2312" w:eastAsia="仿宋_GB2312" w:cs="仿宋_GB2312"/>
          <w:sz w:val="28"/>
          <w:szCs w:val="28"/>
          <w:lang w:val="en-US" w:eastAsia="zh-CN"/>
        </w:rPr>
        <w:t>点击“签收”按钮并在弹窗中点击“确认”按钮，即可完成任务事项签收。任务事项签收后流转至已签收任务列表，表明本单位已知悉并认领任务事项。</w:t>
      </w:r>
    </w:p>
    <w:p w14:paraId="792D3720">
      <w:pPr>
        <w:bidi w:val="0"/>
        <w:ind w:left="0" w:leftChars="0" w:firstLine="0" w:firstLineChars="0"/>
      </w:pPr>
      <w:r>
        <w:drawing>
          <wp:inline distT="0" distB="0" distL="114300" distR="114300">
            <wp:extent cx="5271770" cy="2601595"/>
            <wp:effectExtent l="0" t="0" r="508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71770" cy="2601595"/>
                    </a:xfrm>
                    <a:prstGeom prst="rect">
                      <a:avLst/>
                    </a:prstGeom>
                    <a:noFill/>
                    <a:ln>
                      <a:noFill/>
                    </a:ln>
                  </pic:spPr>
                </pic:pic>
              </a:graphicData>
            </a:graphic>
          </wp:inline>
        </w:drawing>
      </w:r>
    </w:p>
    <w:p w14:paraId="0047E627">
      <w:pPr>
        <w:bidi w:val="0"/>
        <w:ind w:left="0" w:leftChars="0" w:firstLine="0" w:firstLineChars="0"/>
        <w:rPr>
          <w:rFonts w:hint="eastAsia"/>
          <w:lang w:val="en-US" w:eastAsia="zh-CN"/>
        </w:rPr>
      </w:pPr>
      <w:r>
        <w:drawing>
          <wp:inline distT="0" distB="0" distL="114300" distR="114300">
            <wp:extent cx="5266690" cy="2614295"/>
            <wp:effectExtent l="0" t="0" r="10160"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66690" cy="2614295"/>
                    </a:xfrm>
                    <a:prstGeom prst="rect">
                      <a:avLst/>
                    </a:prstGeom>
                    <a:noFill/>
                    <a:ln>
                      <a:noFill/>
                    </a:ln>
                  </pic:spPr>
                </pic:pic>
              </a:graphicData>
            </a:graphic>
          </wp:inline>
        </w:drawing>
      </w:r>
    </w:p>
    <w:p w14:paraId="73B6FEA3">
      <w:pPr>
        <w:pStyle w:val="5"/>
        <w:numPr>
          <w:ilvl w:val="1"/>
          <w:numId w:val="3"/>
        </w:numPr>
        <w:bidi w:val="0"/>
        <w:ind w:left="567" w:leftChars="0" w:hanging="567" w:firstLineChars="0"/>
        <w:rPr>
          <w:rFonts w:hint="eastAsia" w:ascii="宋体" w:hAnsi="宋体" w:eastAsia="宋体" w:cs="宋体"/>
          <w:lang w:val="en-US" w:eastAsia="zh-CN"/>
        </w:rPr>
      </w:pPr>
      <w:bookmarkStart w:id="5" w:name="_Toc7681"/>
      <w:r>
        <w:rPr>
          <w:rFonts w:hint="eastAsia" w:ascii="宋体" w:hAnsi="宋体" w:eastAsia="宋体" w:cs="宋体"/>
          <w:lang w:val="en-US" w:eastAsia="zh-CN"/>
        </w:rPr>
        <w:t>已签收任务</w:t>
      </w:r>
      <w:bookmarkEnd w:id="5"/>
    </w:p>
    <w:p w14:paraId="44EDADEB">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以列表的形式展示由省厅创建分发至本单位，本单位已签收的任务事项，任务事项分为需要反馈和无需反馈两类。列表上方设有查询筛选栏，可按照查询条件筛选定位。任务事项行设有“查看”按钮，点击即可进入详情页面查阅任务事项的具体信息。</w:t>
      </w:r>
    </w:p>
    <w:p w14:paraId="460DD32E">
      <w:pPr>
        <w:bidi w:val="0"/>
        <w:ind w:left="0" w:leftChars="0" w:firstLine="0" w:firstLineChars="0"/>
      </w:pPr>
      <w:r>
        <w:drawing>
          <wp:inline distT="0" distB="0" distL="114300" distR="114300">
            <wp:extent cx="5266690" cy="2614295"/>
            <wp:effectExtent l="0" t="0" r="10160"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66690" cy="2614295"/>
                    </a:xfrm>
                    <a:prstGeom prst="rect">
                      <a:avLst/>
                    </a:prstGeom>
                    <a:noFill/>
                    <a:ln>
                      <a:noFill/>
                    </a:ln>
                  </pic:spPr>
                </pic:pic>
              </a:graphicData>
            </a:graphic>
          </wp:inline>
        </w:drawing>
      </w:r>
    </w:p>
    <w:p w14:paraId="7B3681CA">
      <w:pPr>
        <w:bidi w:val="0"/>
        <w:ind w:left="0" w:leftChars="0" w:firstLine="0" w:firstLineChars="0"/>
      </w:pPr>
      <w:r>
        <w:drawing>
          <wp:inline distT="0" distB="0" distL="114300" distR="114300">
            <wp:extent cx="5259070" cy="2599055"/>
            <wp:effectExtent l="0" t="0" r="17780"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5259070" cy="2599055"/>
                    </a:xfrm>
                    <a:prstGeom prst="rect">
                      <a:avLst/>
                    </a:prstGeom>
                    <a:noFill/>
                    <a:ln>
                      <a:noFill/>
                    </a:ln>
                  </pic:spPr>
                </pic:pic>
              </a:graphicData>
            </a:graphic>
          </wp:inline>
        </w:drawing>
      </w:r>
    </w:p>
    <w:p w14:paraId="619AB20C">
      <w:pPr>
        <w:pStyle w:val="2"/>
        <w:rPr>
          <w:rFonts w:hint="eastAsia"/>
          <w:lang w:val="en-US" w:eastAsia="zh-CN"/>
        </w:rPr>
      </w:pPr>
    </w:p>
    <w:p w14:paraId="2C291E96">
      <w:pPr>
        <w:pStyle w:val="4"/>
        <w:keepNext/>
        <w:keepLines/>
        <w:pageBreakBefore w:val="0"/>
        <w:widowControl w:val="0"/>
        <w:numPr>
          <w:ilvl w:val="0"/>
          <w:numId w:val="3"/>
        </w:numPr>
        <w:kinsoku/>
        <w:wordWrap/>
        <w:overflowPunct/>
        <w:topLinePunct w:val="0"/>
        <w:autoSpaceDE/>
        <w:autoSpaceDN/>
        <w:bidi w:val="0"/>
        <w:adjustRightInd/>
        <w:snapToGrid/>
        <w:spacing w:before="157" w:beforeLines="50" w:after="157" w:afterLines="50"/>
        <w:ind w:left="425" w:leftChars="0" w:hanging="425" w:firstLineChars="0"/>
        <w:textAlignment w:val="auto"/>
        <w:rPr>
          <w:rFonts w:hint="eastAsia" w:ascii="宋体" w:hAnsi="宋体" w:cs="宋体"/>
          <w:sz w:val="36"/>
          <w:szCs w:val="21"/>
          <w:lang w:val="en-US" w:eastAsia="zh-CN"/>
        </w:rPr>
      </w:pPr>
      <w:bookmarkStart w:id="6" w:name="_Toc14613"/>
      <w:r>
        <w:rPr>
          <w:rFonts w:hint="eastAsia" w:ascii="宋体" w:hAnsi="宋体" w:cs="宋体"/>
          <w:sz w:val="36"/>
          <w:szCs w:val="21"/>
          <w:lang w:val="en-US" w:eastAsia="zh-CN"/>
        </w:rPr>
        <w:t>填报中心</w:t>
      </w:r>
      <w:bookmarkEnd w:id="6"/>
    </w:p>
    <w:p w14:paraId="2A8E7288">
      <w:pPr>
        <w:rPr>
          <w:rFonts w:hint="eastAsia"/>
          <w:lang w:val="en-US" w:eastAsia="zh-CN"/>
        </w:rPr>
      </w:pPr>
      <w:r>
        <w:rPr>
          <w:rFonts w:hint="eastAsia" w:ascii="仿宋_GB2312" w:hAnsi="仿宋_GB2312" w:eastAsia="仿宋_GB2312" w:cs="仿宋_GB2312"/>
          <w:sz w:val="28"/>
          <w:szCs w:val="28"/>
          <w:lang w:val="en-US" w:eastAsia="zh-CN"/>
        </w:rPr>
        <w:t>以列表的形式展示由省厅创建分发至本单位，本单位已签收并需要填报反馈内容的任务事项。列表上方设有查询筛选栏，可按照查询条件筛选定位。任务事项填报数据按照批次（反馈周期或时间节点）进行生成，同一批次下可将所有需要填报的任务数</w:t>
      </w:r>
      <w:r>
        <w:rPr>
          <w:rFonts w:hint="eastAsia" w:ascii="仿宋_GB2312" w:hAnsi="仿宋_GB2312" w:eastAsia="仿宋_GB2312" w:cs="仿宋_GB2312"/>
          <w:color w:val="auto"/>
          <w:sz w:val="28"/>
          <w:szCs w:val="28"/>
          <w:lang w:val="en-US" w:eastAsia="zh-CN"/>
        </w:rPr>
        <w:t>据一并生成，并根据实际</w:t>
      </w:r>
      <w:r>
        <w:rPr>
          <w:rFonts w:hint="eastAsia" w:ascii="仿宋_GB2312" w:hAnsi="仿宋_GB2312" w:eastAsia="仿宋_GB2312" w:cs="仿宋_GB2312"/>
          <w:sz w:val="28"/>
          <w:szCs w:val="28"/>
          <w:lang w:val="en-US" w:eastAsia="zh-CN"/>
        </w:rPr>
        <w:t>填报</w:t>
      </w:r>
      <w:r>
        <w:rPr>
          <w:rFonts w:hint="eastAsia" w:ascii="仿宋_GB2312" w:hAnsi="仿宋_GB2312" w:eastAsia="仿宋_GB2312" w:cs="仿宋_GB2312"/>
          <w:color w:val="auto"/>
          <w:sz w:val="28"/>
          <w:szCs w:val="28"/>
          <w:lang w:val="en-US" w:eastAsia="zh-CN"/>
        </w:rPr>
        <w:t>情况及审核结果分为：待填报、审核中、退回整改及审核通过四类。</w:t>
      </w:r>
      <w:r>
        <w:rPr>
          <w:rFonts w:hint="eastAsia" w:ascii="仿宋_GB2312" w:hAnsi="仿宋_GB2312" w:eastAsia="仿宋_GB2312" w:cs="仿宋_GB2312"/>
          <w:b w:val="0"/>
          <w:bCs w:val="0"/>
          <w:color w:val="auto"/>
          <w:sz w:val="28"/>
          <w:szCs w:val="28"/>
          <w:lang w:val="en-US" w:eastAsia="zh-CN"/>
        </w:rPr>
        <w:t>需着重强调的是，任务事项必须先签收以后才可进行</w:t>
      </w:r>
      <w:r>
        <w:rPr>
          <w:rFonts w:hint="eastAsia" w:ascii="仿宋_GB2312" w:hAnsi="仿宋_GB2312" w:eastAsia="仿宋_GB2312" w:cs="仿宋_GB2312"/>
          <w:sz w:val="28"/>
          <w:szCs w:val="28"/>
          <w:lang w:val="en-US" w:eastAsia="zh-CN"/>
        </w:rPr>
        <w:t>填报</w:t>
      </w:r>
      <w:r>
        <w:rPr>
          <w:rFonts w:hint="eastAsia" w:ascii="仿宋_GB2312" w:hAnsi="仿宋_GB2312" w:eastAsia="仿宋_GB2312" w:cs="仿宋_GB2312"/>
          <w:b w:val="0"/>
          <w:bCs w:val="0"/>
          <w:color w:val="auto"/>
          <w:sz w:val="28"/>
          <w:szCs w:val="28"/>
          <w:lang w:val="en-US" w:eastAsia="zh-CN"/>
        </w:rPr>
        <w:t>。</w:t>
      </w:r>
    </w:p>
    <w:p w14:paraId="63B48ECD">
      <w:pPr>
        <w:pStyle w:val="5"/>
        <w:numPr>
          <w:ilvl w:val="1"/>
          <w:numId w:val="3"/>
        </w:numPr>
        <w:bidi w:val="0"/>
        <w:ind w:left="567" w:leftChars="0" w:hanging="567" w:firstLineChars="0"/>
        <w:rPr>
          <w:rFonts w:hint="eastAsia" w:ascii="宋体" w:hAnsi="宋体" w:eastAsia="宋体" w:cs="宋体"/>
          <w:lang w:val="en-US" w:eastAsia="zh-CN"/>
        </w:rPr>
      </w:pPr>
      <w:bookmarkStart w:id="7" w:name="_Toc18037"/>
      <w:r>
        <w:rPr>
          <w:rFonts w:hint="eastAsia" w:ascii="宋体" w:hAnsi="宋体" w:eastAsia="宋体" w:cs="宋体"/>
          <w:lang w:val="en-US" w:eastAsia="zh-CN"/>
        </w:rPr>
        <w:t>待填报</w:t>
      </w:r>
      <w:bookmarkEnd w:id="7"/>
    </w:p>
    <w:p w14:paraId="2E91A2F8">
      <w:pPr>
        <w:rPr>
          <w:rFonts w:hint="eastAsia"/>
          <w:lang w:val="en-US" w:eastAsia="zh-CN"/>
        </w:rPr>
      </w:pPr>
      <w:r>
        <w:rPr>
          <w:rFonts w:hint="eastAsia" w:ascii="仿宋_GB2312" w:hAnsi="仿宋_GB2312" w:eastAsia="仿宋_GB2312" w:cs="仿宋_GB2312"/>
          <w:sz w:val="28"/>
          <w:szCs w:val="28"/>
          <w:lang w:val="en-US" w:eastAsia="zh-CN"/>
        </w:rPr>
        <w:t>对于待填报的任务，任务事项行设有“填报”及“查看”两个按钮。</w:t>
      </w:r>
    </w:p>
    <w:p w14:paraId="6F2A675B">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填报”按钮即可进入详情页面查阅任务事项的具体信息并填写反馈内容、上传签批文件及佐证材料。其中，反馈内容为必填项，签批文件及佐证材料为非必填项。反馈内容输入框下方设有“下载”按钮，用户填写完反馈内容文字信息后，可通过此按钮，按照系统默认的模板下载任务事项的具体信息及所填写的反馈内容信息（不包含附件）。</w:t>
      </w:r>
    </w:p>
    <w:p w14:paraId="69EE8D13">
      <w:pPr>
        <w:rPr>
          <w:rFonts w:hint="eastAsia"/>
          <w:lang w:val="en-US" w:eastAsia="zh-CN"/>
        </w:rPr>
      </w:pPr>
      <w:r>
        <w:rPr>
          <w:rFonts w:hint="eastAsia" w:ascii="仿宋_GB2312" w:hAnsi="仿宋_GB2312" w:eastAsia="仿宋_GB2312" w:cs="仿宋_GB2312"/>
          <w:sz w:val="28"/>
          <w:szCs w:val="28"/>
          <w:lang w:val="en-US" w:eastAsia="zh-CN"/>
        </w:rPr>
        <w:t>反馈内容填写完成后，点击“提交”按钮，系统将自动校验必填字段是否已完成填写，若存在未填写的情况，系统将进行提示并阻止提交。提交后，按照审核流程进入审核阶段。</w:t>
      </w:r>
    </w:p>
    <w:p w14:paraId="0318C40E">
      <w:pPr>
        <w:bidi w:val="0"/>
        <w:ind w:left="0" w:leftChars="0" w:firstLine="0" w:firstLineChars="0"/>
      </w:pPr>
      <w:r>
        <w:drawing>
          <wp:inline distT="0" distB="0" distL="114300" distR="114300">
            <wp:extent cx="5257800" cy="2587625"/>
            <wp:effectExtent l="0" t="0" r="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5257800" cy="2587625"/>
                    </a:xfrm>
                    <a:prstGeom prst="rect">
                      <a:avLst/>
                    </a:prstGeom>
                    <a:noFill/>
                    <a:ln>
                      <a:noFill/>
                    </a:ln>
                  </pic:spPr>
                </pic:pic>
              </a:graphicData>
            </a:graphic>
          </wp:inline>
        </w:drawing>
      </w:r>
    </w:p>
    <w:p w14:paraId="2782AE1E">
      <w:pPr>
        <w:bidi w:val="0"/>
        <w:ind w:left="0" w:leftChars="0" w:firstLine="0" w:firstLineChars="0"/>
        <w:rPr>
          <w:rFonts w:hint="eastAsia"/>
          <w:lang w:val="en-US" w:eastAsia="zh-CN"/>
        </w:rPr>
      </w:pPr>
      <w:r>
        <w:drawing>
          <wp:inline distT="0" distB="0" distL="114300" distR="114300">
            <wp:extent cx="5270500" cy="2607310"/>
            <wp:effectExtent l="0" t="0" r="6350"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5270500" cy="2607310"/>
                    </a:xfrm>
                    <a:prstGeom prst="rect">
                      <a:avLst/>
                    </a:prstGeom>
                    <a:noFill/>
                    <a:ln>
                      <a:noFill/>
                    </a:ln>
                  </pic:spPr>
                </pic:pic>
              </a:graphicData>
            </a:graphic>
          </wp:inline>
        </w:drawing>
      </w:r>
    </w:p>
    <w:p w14:paraId="2C1E0BD2">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点击“查看”按钮即可进入详情页面查阅任务事项的具体信息。</w:t>
      </w:r>
    </w:p>
    <w:p w14:paraId="426192F7">
      <w:pPr>
        <w:bidi w:val="0"/>
        <w:ind w:left="0" w:leftChars="0" w:firstLine="0" w:firstLineChars="0"/>
      </w:pPr>
      <w:r>
        <w:drawing>
          <wp:inline distT="0" distB="0" distL="114300" distR="114300">
            <wp:extent cx="5260340" cy="2606675"/>
            <wp:effectExtent l="0" t="0" r="1651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260340" cy="2606675"/>
                    </a:xfrm>
                    <a:prstGeom prst="rect">
                      <a:avLst/>
                    </a:prstGeom>
                    <a:noFill/>
                    <a:ln>
                      <a:noFill/>
                    </a:ln>
                  </pic:spPr>
                </pic:pic>
              </a:graphicData>
            </a:graphic>
          </wp:inline>
        </w:drawing>
      </w:r>
    </w:p>
    <w:p w14:paraId="7061FBF2">
      <w:pPr>
        <w:bidi w:val="0"/>
        <w:ind w:left="0" w:leftChars="0" w:firstLine="0" w:firstLineChars="0"/>
        <w:rPr>
          <w:rFonts w:hint="eastAsia"/>
          <w:lang w:val="en-US" w:eastAsia="zh-CN"/>
        </w:rPr>
      </w:pPr>
      <w:r>
        <w:drawing>
          <wp:inline distT="0" distB="0" distL="114300" distR="114300">
            <wp:extent cx="5273040" cy="2610485"/>
            <wp:effectExtent l="0" t="0" r="3810" b="184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5273040" cy="2610485"/>
                    </a:xfrm>
                    <a:prstGeom prst="rect">
                      <a:avLst/>
                    </a:prstGeom>
                    <a:noFill/>
                    <a:ln>
                      <a:noFill/>
                    </a:ln>
                  </pic:spPr>
                </pic:pic>
              </a:graphicData>
            </a:graphic>
          </wp:inline>
        </w:drawing>
      </w:r>
    </w:p>
    <w:p w14:paraId="647B8706">
      <w:pPr>
        <w:pStyle w:val="5"/>
        <w:numPr>
          <w:ilvl w:val="1"/>
          <w:numId w:val="3"/>
        </w:numPr>
        <w:bidi w:val="0"/>
        <w:ind w:left="567" w:leftChars="0" w:hanging="567" w:firstLineChars="0"/>
        <w:rPr>
          <w:rFonts w:hint="eastAsia" w:ascii="宋体" w:hAnsi="宋体" w:eastAsia="宋体" w:cs="宋体"/>
          <w:lang w:val="en-US" w:eastAsia="zh-CN"/>
        </w:rPr>
      </w:pPr>
      <w:bookmarkStart w:id="8" w:name="_Toc31985"/>
      <w:r>
        <w:rPr>
          <w:rFonts w:hint="eastAsia" w:ascii="宋体" w:hAnsi="宋体" w:eastAsia="宋体" w:cs="宋体"/>
          <w:lang w:val="en-US" w:eastAsia="zh-CN"/>
        </w:rPr>
        <w:t>审核中</w:t>
      </w:r>
      <w:bookmarkEnd w:id="8"/>
    </w:p>
    <w:p w14:paraId="13F53F02">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对于审核中的任务，任务事项行设有“查看”按钮，点击即可进入详情页面查阅任务事项的具体信息、已填报的反馈内容及审核信息。</w:t>
      </w:r>
    </w:p>
    <w:p w14:paraId="745730E2">
      <w:pPr>
        <w:ind w:left="0" w:leftChars="0" w:firstLine="0" w:firstLineChars="0"/>
      </w:pPr>
      <w:r>
        <w:drawing>
          <wp:inline distT="0" distB="0" distL="114300" distR="114300">
            <wp:extent cx="5266690" cy="2614295"/>
            <wp:effectExtent l="0" t="0" r="10160" b="146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a:stretch>
                      <a:fillRect/>
                    </a:stretch>
                  </pic:blipFill>
                  <pic:spPr>
                    <a:xfrm>
                      <a:off x="0" y="0"/>
                      <a:ext cx="5266690" cy="2614295"/>
                    </a:xfrm>
                    <a:prstGeom prst="rect">
                      <a:avLst/>
                    </a:prstGeom>
                    <a:noFill/>
                    <a:ln>
                      <a:noFill/>
                    </a:ln>
                  </pic:spPr>
                </pic:pic>
              </a:graphicData>
            </a:graphic>
          </wp:inline>
        </w:drawing>
      </w:r>
    </w:p>
    <w:p w14:paraId="0EFCD791">
      <w:pPr>
        <w:bidi w:val="0"/>
        <w:ind w:left="0" w:leftChars="0" w:firstLine="0" w:firstLineChars="0"/>
      </w:pPr>
      <w:r>
        <w:drawing>
          <wp:inline distT="0" distB="0" distL="114300" distR="114300">
            <wp:extent cx="5262245" cy="2610485"/>
            <wp:effectExtent l="0" t="0" r="14605" b="1841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3"/>
                    <a:stretch>
                      <a:fillRect/>
                    </a:stretch>
                  </pic:blipFill>
                  <pic:spPr>
                    <a:xfrm>
                      <a:off x="0" y="0"/>
                      <a:ext cx="5262245" cy="2610485"/>
                    </a:xfrm>
                    <a:prstGeom prst="rect">
                      <a:avLst/>
                    </a:prstGeom>
                    <a:noFill/>
                    <a:ln>
                      <a:noFill/>
                    </a:ln>
                  </pic:spPr>
                </pic:pic>
              </a:graphicData>
            </a:graphic>
          </wp:inline>
        </w:drawing>
      </w:r>
    </w:p>
    <w:p w14:paraId="4F24991B">
      <w:pPr>
        <w:pStyle w:val="5"/>
        <w:numPr>
          <w:ilvl w:val="1"/>
          <w:numId w:val="3"/>
        </w:numPr>
        <w:bidi w:val="0"/>
        <w:ind w:left="567" w:leftChars="0" w:hanging="567" w:firstLineChars="0"/>
        <w:rPr>
          <w:rFonts w:hint="eastAsia" w:ascii="宋体" w:hAnsi="宋体" w:eastAsia="宋体" w:cs="宋体"/>
          <w:lang w:val="en-US" w:eastAsia="zh-CN"/>
        </w:rPr>
      </w:pPr>
      <w:bookmarkStart w:id="9" w:name="_Toc3672"/>
      <w:r>
        <w:rPr>
          <w:rFonts w:hint="eastAsia" w:ascii="宋体" w:hAnsi="宋体" w:eastAsia="宋体" w:cs="宋体"/>
          <w:lang w:val="en-US" w:eastAsia="zh-CN"/>
        </w:rPr>
        <w:t>退回整改</w:t>
      </w:r>
      <w:bookmarkEnd w:id="9"/>
    </w:p>
    <w:p w14:paraId="774C6A3E">
      <w:pPr>
        <w:rPr>
          <w:rFonts w:hint="eastAsia"/>
          <w:lang w:val="en-US" w:eastAsia="zh-CN"/>
        </w:rPr>
      </w:pPr>
      <w:r>
        <w:rPr>
          <w:rFonts w:hint="eastAsia" w:ascii="仿宋_GB2312" w:hAnsi="仿宋_GB2312" w:eastAsia="仿宋_GB2312" w:cs="仿宋_GB2312"/>
          <w:sz w:val="28"/>
          <w:szCs w:val="28"/>
          <w:lang w:val="en-US" w:eastAsia="zh-CN"/>
        </w:rPr>
        <w:t>对于退回整改的任务，任务事项行设有“修改”及“查看”两个按钮。</w:t>
      </w:r>
    </w:p>
    <w:p w14:paraId="509C30E8">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修改”按钮即可进入详情页面查阅任务事项的具体信息、原先已填报的反馈内容及审核信息。用户可根据审核意见在原先已填报的反馈内容基础上进行修改，修改后点击“重新提交”按钮即可重新按照审核流程进入审核阶段，原有的审核信息将被清空覆盖。（退回整改任务的修改操作与待填报任务的填报操作相同）</w:t>
      </w:r>
    </w:p>
    <w:p w14:paraId="6E940384">
      <w:pPr>
        <w:ind w:left="0" w:leftChars="0" w:firstLine="0" w:firstLineChars="0"/>
      </w:pPr>
      <w:r>
        <w:drawing>
          <wp:inline distT="0" distB="0" distL="114300" distR="114300">
            <wp:extent cx="5266690" cy="2614295"/>
            <wp:effectExtent l="0" t="0" r="10160" b="146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5266690" cy="2614295"/>
                    </a:xfrm>
                    <a:prstGeom prst="rect">
                      <a:avLst/>
                    </a:prstGeom>
                    <a:noFill/>
                    <a:ln>
                      <a:noFill/>
                    </a:ln>
                  </pic:spPr>
                </pic:pic>
              </a:graphicData>
            </a:graphic>
          </wp:inline>
        </w:drawing>
      </w:r>
    </w:p>
    <w:p w14:paraId="67788C3D">
      <w:pPr>
        <w:bidi w:val="0"/>
        <w:ind w:left="0" w:leftChars="0" w:firstLine="0" w:firstLineChars="0"/>
        <w:rPr>
          <w:rFonts w:hint="eastAsia"/>
          <w:lang w:val="en-US" w:eastAsia="zh-CN"/>
        </w:rPr>
      </w:pPr>
      <w:r>
        <w:drawing>
          <wp:inline distT="0" distB="0" distL="114300" distR="114300">
            <wp:extent cx="5273040" cy="2621280"/>
            <wp:effectExtent l="0" t="0" r="3810" b="762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5"/>
                    <a:stretch>
                      <a:fillRect/>
                    </a:stretch>
                  </pic:blipFill>
                  <pic:spPr>
                    <a:xfrm>
                      <a:off x="0" y="0"/>
                      <a:ext cx="5273040" cy="2621280"/>
                    </a:xfrm>
                    <a:prstGeom prst="rect">
                      <a:avLst/>
                    </a:prstGeom>
                    <a:noFill/>
                    <a:ln>
                      <a:noFill/>
                    </a:ln>
                  </pic:spPr>
                </pic:pic>
              </a:graphicData>
            </a:graphic>
          </wp:inline>
        </w:drawing>
      </w:r>
    </w:p>
    <w:p w14:paraId="57CB633C">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点击“查看”按钮即可进入详情页面查阅任务事项的具体信息、原先已填报的反馈内容及审核信息。</w:t>
      </w:r>
    </w:p>
    <w:p w14:paraId="4349BFC1">
      <w:pPr>
        <w:bidi w:val="0"/>
        <w:ind w:left="0" w:leftChars="0" w:firstLine="0" w:firstLineChars="0"/>
      </w:pPr>
      <w:r>
        <w:drawing>
          <wp:inline distT="0" distB="0" distL="114300" distR="114300">
            <wp:extent cx="5261610" cy="2592070"/>
            <wp:effectExtent l="0" t="0" r="15240" b="1778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6"/>
                    <a:stretch>
                      <a:fillRect/>
                    </a:stretch>
                  </pic:blipFill>
                  <pic:spPr>
                    <a:xfrm>
                      <a:off x="0" y="0"/>
                      <a:ext cx="5261610" cy="2592070"/>
                    </a:xfrm>
                    <a:prstGeom prst="rect">
                      <a:avLst/>
                    </a:prstGeom>
                    <a:noFill/>
                    <a:ln>
                      <a:noFill/>
                    </a:ln>
                  </pic:spPr>
                </pic:pic>
              </a:graphicData>
            </a:graphic>
          </wp:inline>
        </w:drawing>
      </w:r>
    </w:p>
    <w:p w14:paraId="3B84A313">
      <w:pPr>
        <w:bidi w:val="0"/>
        <w:ind w:left="0" w:leftChars="0" w:firstLine="0" w:firstLineChars="0"/>
      </w:pPr>
      <w:r>
        <w:drawing>
          <wp:inline distT="0" distB="0" distL="114300" distR="114300">
            <wp:extent cx="5270500" cy="2599055"/>
            <wp:effectExtent l="0" t="0" r="6350" b="1079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7"/>
                    <a:stretch>
                      <a:fillRect/>
                    </a:stretch>
                  </pic:blipFill>
                  <pic:spPr>
                    <a:xfrm>
                      <a:off x="0" y="0"/>
                      <a:ext cx="5270500" cy="2599055"/>
                    </a:xfrm>
                    <a:prstGeom prst="rect">
                      <a:avLst/>
                    </a:prstGeom>
                    <a:noFill/>
                    <a:ln>
                      <a:noFill/>
                    </a:ln>
                  </pic:spPr>
                </pic:pic>
              </a:graphicData>
            </a:graphic>
          </wp:inline>
        </w:drawing>
      </w:r>
    </w:p>
    <w:p w14:paraId="699FE072">
      <w:pPr>
        <w:pStyle w:val="5"/>
        <w:numPr>
          <w:ilvl w:val="1"/>
          <w:numId w:val="3"/>
        </w:numPr>
        <w:bidi w:val="0"/>
        <w:ind w:left="567" w:leftChars="0" w:hanging="567" w:firstLineChars="0"/>
        <w:rPr>
          <w:rFonts w:hint="eastAsia" w:ascii="宋体" w:hAnsi="宋体" w:eastAsia="宋体" w:cs="宋体"/>
          <w:lang w:val="en-US" w:eastAsia="zh-CN"/>
        </w:rPr>
      </w:pPr>
      <w:bookmarkStart w:id="10" w:name="_Toc2433"/>
      <w:r>
        <w:rPr>
          <w:rFonts w:hint="eastAsia" w:ascii="宋体" w:hAnsi="宋体" w:eastAsia="宋体" w:cs="宋体"/>
          <w:lang w:val="en-US" w:eastAsia="zh-CN"/>
        </w:rPr>
        <w:t>审核通过</w:t>
      </w:r>
      <w:bookmarkEnd w:id="10"/>
    </w:p>
    <w:p w14:paraId="4A629E48">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对于审核通过的任务，任务事项行设有“查看”按钮，点击即可进入详情页面查阅任务事项的具体信息、已填报的反馈内容及审核信息。</w:t>
      </w:r>
    </w:p>
    <w:p w14:paraId="444C5CEA">
      <w:pPr>
        <w:bidi w:val="0"/>
        <w:ind w:left="0" w:leftChars="0" w:firstLine="0" w:firstLineChars="0"/>
      </w:pPr>
      <w:r>
        <w:drawing>
          <wp:inline distT="0" distB="0" distL="114300" distR="114300">
            <wp:extent cx="5266690" cy="2614295"/>
            <wp:effectExtent l="0" t="0" r="10160" b="1460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8"/>
                    <a:stretch>
                      <a:fillRect/>
                    </a:stretch>
                  </pic:blipFill>
                  <pic:spPr>
                    <a:xfrm>
                      <a:off x="0" y="0"/>
                      <a:ext cx="5266690" cy="2614295"/>
                    </a:xfrm>
                    <a:prstGeom prst="rect">
                      <a:avLst/>
                    </a:prstGeom>
                    <a:noFill/>
                    <a:ln>
                      <a:noFill/>
                    </a:ln>
                  </pic:spPr>
                </pic:pic>
              </a:graphicData>
            </a:graphic>
          </wp:inline>
        </w:drawing>
      </w:r>
    </w:p>
    <w:p w14:paraId="1254FE81">
      <w:pPr>
        <w:bidi w:val="0"/>
        <w:ind w:left="0" w:leftChars="0" w:firstLine="0" w:firstLineChars="0"/>
      </w:pPr>
      <w:r>
        <w:drawing>
          <wp:inline distT="0" distB="0" distL="114300" distR="114300">
            <wp:extent cx="5260340" cy="2593340"/>
            <wp:effectExtent l="0" t="0" r="16510" b="1651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9"/>
                    <a:stretch>
                      <a:fillRect/>
                    </a:stretch>
                  </pic:blipFill>
                  <pic:spPr>
                    <a:xfrm>
                      <a:off x="0" y="0"/>
                      <a:ext cx="5260340" cy="2593340"/>
                    </a:xfrm>
                    <a:prstGeom prst="rect">
                      <a:avLst/>
                    </a:prstGeom>
                    <a:noFill/>
                    <a:ln>
                      <a:noFill/>
                    </a:ln>
                  </pic:spPr>
                </pic:pic>
              </a:graphicData>
            </a:graphic>
          </wp:inline>
        </w:drawing>
      </w:r>
    </w:p>
    <w:p w14:paraId="71E0F141">
      <w:pPr>
        <w:pStyle w:val="2"/>
        <w:rPr>
          <w:rFonts w:hint="eastAsia"/>
          <w:lang w:val="en-US" w:eastAsia="zh-CN"/>
        </w:rPr>
      </w:pPr>
    </w:p>
    <w:p w14:paraId="64EF4ABC">
      <w:pPr>
        <w:pStyle w:val="4"/>
        <w:keepNext/>
        <w:keepLines/>
        <w:pageBreakBefore w:val="0"/>
        <w:widowControl w:val="0"/>
        <w:numPr>
          <w:ilvl w:val="0"/>
          <w:numId w:val="3"/>
        </w:numPr>
        <w:kinsoku/>
        <w:wordWrap/>
        <w:overflowPunct/>
        <w:topLinePunct w:val="0"/>
        <w:autoSpaceDE/>
        <w:autoSpaceDN/>
        <w:bidi w:val="0"/>
        <w:adjustRightInd/>
        <w:snapToGrid/>
        <w:spacing w:before="157" w:beforeLines="50" w:after="157" w:afterLines="50"/>
        <w:ind w:left="425" w:leftChars="0" w:hanging="425" w:firstLineChars="0"/>
        <w:textAlignment w:val="auto"/>
        <w:rPr>
          <w:rFonts w:hint="default" w:ascii="宋体" w:hAnsi="宋体" w:cs="宋体"/>
          <w:sz w:val="36"/>
          <w:szCs w:val="21"/>
          <w:lang w:val="en-US" w:eastAsia="zh-CN"/>
        </w:rPr>
      </w:pPr>
      <w:bookmarkStart w:id="11" w:name="_Toc24601"/>
      <w:r>
        <w:rPr>
          <w:rFonts w:hint="eastAsia" w:ascii="宋体" w:hAnsi="宋体" w:cs="宋体"/>
          <w:sz w:val="36"/>
          <w:szCs w:val="21"/>
          <w:lang w:val="en-US" w:eastAsia="zh-CN"/>
        </w:rPr>
        <w:t>数据中心</w:t>
      </w:r>
      <w:bookmarkEnd w:id="11"/>
    </w:p>
    <w:p w14:paraId="7B4C45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以列表的形式展示</w:t>
      </w:r>
      <w:r>
        <w:rPr>
          <w:rFonts w:hint="eastAsia" w:ascii="仿宋_GB2312" w:hAnsi="仿宋_GB2312" w:eastAsia="仿宋_GB2312" w:cs="仿宋_GB2312"/>
          <w:sz w:val="28"/>
          <w:szCs w:val="28"/>
          <w:lang w:val="en-US" w:eastAsia="zh-CN"/>
        </w:rPr>
        <w:t>由省厅创建分发至本单位</w:t>
      </w:r>
      <w:r>
        <w:rPr>
          <w:rFonts w:hint="eastAsia" w:ascii="仿宋_GB2312" w:hAnsi="仿宋_GB2312" w:eastAsia="仿宋_GB2312" w:cs="仿宋_GB2312"/>
          <w:color w:val="auto"/>
          <w:sz w:val="28"/>
          <w:szCs w:val="28"/>
          <w:lang w:val="en-US" w:eastAsia="zh-CN"/>
        </w:rPr>
        <w:t>的任务事项，任务事项分为需要反馈和无需反馈两类。列表上方设有查询筛选栏，可按照查询条件筛选定位。任务事项行设有“查看”按钮，点击即可进入详情页面查阅任务事项的具体信息。</w:t>
      </w:r>
    </w:p>
    <w:p w14:paraId="2E58E0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仿宋_GB2312" w:hAnsi="仿宋_GB2312" w:eastAsia="仿宋_GB2312" w:cs="仿宋_GB2312"/>
          <w:color w:val="auto"/>
          <w:sz w:val="28"/>
          <w:szCs w:val="28"/>
          <w:lang w:val="en-US" w:eastAsia="zh-CN"/>
        </w:rPr>
        <w:t>对于需要反馈的任务事项，详情页面还可查阅本单位每个批次（反馈周期或时间节点）填报的反馈内容，详情页面设有下拉选择框，可根据自身需求选择想要查阅的批次并点击“查看”按钮即可查阅详细的反馈内容。</w:t>
      </w:r>
    </w:p>
    <w:p w14:paraId="6CBB21FE">
      <w:pPr>
        <w:bidi w:val="0"/>
        <w:ind w:left="0" w:leftChars="0" w:firstLine="0" w:firstLineChars="0"/>
        <w:rPr>
          <w:rFonts w:hint="eastAsia"/>
          <w:lang w:val="en-US" w:eastAsia="zh-CN"/>
        </w:rPr>
      </w:pPr>
      <w:r>
        <w:drawing>
          <wp:inline distT="0" distB="0" distL="114300" distR="114300">
            <wp:extent cx="5266690" cy="2614295"/>
            <wp:effectExtent l="0" t="0" r="10160" b="146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0"/>
                    <a:stretch>
                      <a:fillRect/>
                    </a:stretch>
                  </pic:blipFill>
                  <pic:spPr>
                    <a:xfrm>
                      <a:off x="0" y="0"/>
                      <a:ext cx="5266690" cy="2614295"/>
                    </a:xfrm>
                    <a:prstGeom prst="rect">
                      <a:avLst/>
                    </a:prstGeom>
                    <a:noFill/>
                    <a:ln>
                      <a:noFill/>
                    </a:ln>
                  </pic:spPr>
                </pic:pic>
              </a:graphicData>
            </a:graphic>
          </wp:inline>
        </w:drawing>
      </w:r>
    </w:p>
    <w:p w14:paraId="69B8D488">
      <w:pPr>
        <w:bidi w:val="0"/>
        <w:ind w:left="0" w:leftChars="0" w:firstLine="0" w:firstLineChars="0"/>
      </w:pPr>
      <w:r>
        <w:drawing>
          <wp:inline distT="0" distB="0" distL="114300" distR="114300">
            <wp:extent cx="5274310" cy="2598420"/>
            <wp:effectExtent l="0" t="0" r="2540" b="1143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31"/>
                    <a:stretch>
                      <a:fillRect/>
                    </a:stretch>
                  </pic:blipFill>
                  <pic:spPr>
                    <a:xfrm>
                      <a:off x="0" y="0"/>
                      <a:ext cx="5274310" cy="2598420"/>
                    </a:xfrm>
                    <a:prstGeom prst="rect">
                      <a:avLst/>
                    </a:prstGeom>
                    <a:noFill/>
                    <a:ln>
                      <a:noFill/>
                    </a:ln>
                  </pic:spPr>
                </pic:pic>
              </a:graphicData>
            </a:graphic>
          </wp:inline>
        </w:drawing>
      </w:r>
    </w:p>
    <w:p w14:paraId="385F1815">
      <w:pPr>
        <w:bidi w:val="0"/>
        <w:ind w:left="0" w:leftChars="0" w:firstLine="0" w:firstLineChars="0"/>
      </w:pPr>
      <w:r>
        <w:drawing>
          <wp:inline distT="0" distB="0" distL="114300" distR="114300">
            <wp:extent cx="5262245" cy="2615565"/>
            <wp:effectExtent l="0" t="0" r="14605" b="1333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2"/>
                    <a:stretch>
                      <a:fillRect/>
                    </a:stretch>
                  </pic:blipFill>
                  <pic:spPr>
                    <a:xfrm>
                      <a:off x="0" y="0"/>
                      <a:ext cx="5262245" cy="2615565"/>
                    </a:xfrm>
                    <a:prstGeom prst="rect">
                      <a:avLst/>
                    </a:prstGeom>
                    <a:noFill/>
                    <a:ln>
                      <a:noFill/>
                    </a:ln>
                  </pic:spPr>
                </pic:pic>
              </a:graphicData>
            </a:graphic>
          </wp:inline>
        </w:drawing>
      </w:r>
    </w:p>
    <w:p w14:paraId="31B56510">
      <w:pPr>
        <w:pStyle w:val="2"/>
        <w:rPr>
          <w:rFonts w:hint="eastAsia"/>
          <w:lang w:val="en-US" w:eastAsia="zh-CN"/>
        </w:rPr>
      </w:pPr>
    </w:p>
    <w:p w14:paraId="7CECC50B">
      <w:pPr>
        <w:pStyle w:val="4"/>
        <w:keepNext/>
        <w:keepLines/>
        <w:pageBreakBefore w:val="0"/>
        <w:widowControl w:val="0"/>
        <w:numPr>
          <w:ilvl w:val="0"/>
          <w:numId w:val="3"/>
        </w:numPr>
        <w:kinsoku/>
        <w:wordWrap/>
        <w:overflowPunct/>
        <w:topLinePunct w:val="0"/>
        <w:autoSpaceDE/>
        <w:autoSpaceDN/>
        <w:bidi w:val="0"/>
        <w:adjustRightInd/>
        <w:snapToGrid/>
        <w:spacing w:before="157" w:beforeLines="50" w:after="157" w:afterLines="50"/>
        <w:ind w:left="425" w:leftChars="0" w:hanging="425" w:firstLineChars="0"/>
        <w:textAlignment w:val="auto"/>
        <w:rPr>
          <w:rFonts w:hint="default" w:ascii="宋体" w:hAnsi="宋体" w:cs="宋体"/>
          <w:sz w:val="36"/>
          <w:szCs w:val="21"/>
          <w:lang w:val="en-US" w:eastAsia="zh-CN"/>
        </w:rPr>
      </w:pPr>
      <w:bookmarkStart w:id="12" w:name="_Toc16783"/>
      <w:r>
        <w:rPr>
          <w:rFonts w:hint="eastAsia" w:ascii="宋体" w:hAnsi="宋体" w:cs="宋体"/>
          <w:sz w:val="36"/>
          <w:szCs w:val="21"/>
          <w:lang w:val="en-US" w:eastAsia="zh-CN"/>
        </w:rPr>
        <w:t>消息中心</w:t>
      </w:r>
      <w:bookmarkEnd w:id="12"/>
    </w:p>
    <w:p w14:paraId="63355E9E">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以列表的形式展示由系统发起的提醒消息，涵盖任务送达、超期提醒及待办提醒等环节，列表上方设有查询筛选栏，可按照查询条件筛选定位。系统消息分为未读和已读两类，用户可依据自身需求进行管理。具体操作如下：</w:t>
      </w:r>
    </w:p>
    <w:p w14:paraId="4851AD9F">
      <w:pPr>
        <w:rPr>
          <w:rFonts w:hint="eastAsia"/>
          <w:lang w:val="en-US" w:eastAsia="zh-CN"/>
        </w:rPr>
      </w:pPr>
      <w:r>
        <w:rPr>
          <w:rFonts w:hint="eastAsia" w:ascii="仿宋_GB2312" w:hAnsi="仿宋_GB2312" w:eastAsia="仿宋_GB2312" w:cs="仿宋_GB2312"/>
          <w:sz w:val="28"/>
          <w:szCs w:val="28"/>
          <w:lang w:val="en-US" w:eastAsia="zh-CN"/>
        </w:rPr>
        <w:t>点击信息数据行中的“已读”按钮，可将未读消息标记为已读状态；点击信息数据行中的“删除”按钮，可从列表中移除该提醒消息；勾选某条或多条消息后，点击列表上方的“批量已读”按钮，能够一次性将所选的未读消息标记为已读状态；勾选某条或多条消息后，点击列表上方的“批量删除”按钮，可一次性从列表中删除所选的提醒消息；全选并点击列表上方的“全部已读”按钮，可将全部未读消息标记为已读状态。</w:t>
      </w:r>
      <w:r>
        <w:rPr>
          <w:rFonts w:hint="eastAsia"/>
          <w:lang w:val="en-US" w:eastAsia="zh-CN"/>
        </w:rPr>
        <w:t xml:space="preserve"> </w:t>
      </w:r>
    </w:p>
    <w:p w14:paraId="2C51A614">
      <w:pPr>
        <w:ind w:left="0" w:leftChars="0" w:firstLine="0" w:firstLineChars="0"/>
        <w:rPr>
          <w:rFonts w:hint="eastAsia"/>
          <w:lang w:val="en-US" w:eastAsia="zh-CN"/>
        </w:rPr>
      </w:pPr>
    </w:p>
    <w:p w14:paraId="79C48423">
      <w:pPr>
        <w:pStyle w:val="2"/>
        <w:ind w:left="0" w:leftChars="0" w:firstLine="0" w:firstLineChars="0"/>
        <w:rPr>
          <w:rFonts w:hint="eastAsia"/>
          <w:lang w:val="en-US" w:eastAsia="zh-CN"/>
        </w:rPr>
      </w:pPr>
    </w:p>
    <w:p w14:paraId="10A3521C">
      <w:pPr>
        <w:ind w:left="0" w:leftChars="0" w:firstLine="0" w:firstLineChars="0"/>
        <w:jc w:val="center"/>
        <w:rPr>
          <w:rFonts w:hint="default" w:ascii="仿宋_GB2312" w:hAnsi="仿宋_GB2312" w:eastAsia="仿宋_GB2312" w:cs="仿宋_GB2312"/>
          <w:sz w:val="28"/>
          <w:szCs w:val="28"/>
          <w:lang w:val="en-US" w:eastAsia="zh-CN"/>
        </w:rPr>
      </w:pPr>
      <w:r>
        <w:drawing>
          <wp:inline distT="0" distB="0" distL="114300" distR="114300">
            <wp:extent cx="5274310" cy="2587625"/>
            <wp:effectExtent l="0" t="0" r="2540" b="317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33"/>
                    <a:stretch>
                      <a:fillRect/>
                    </a:stretch>
                  </pic:blipFill>
                  <pic:spPr>
                    <a:xfrm>
                      <a:off x="0" y="0"/>
                      <a:ext cx="5274310" cy="2587625"/>
                    </a:xfrm>
                    <a:prstGeom prst="rect">
                      <a:avLst/>
                    </a:prstGeom>
                    <a:noFill/>
                    <a:ln>
                      <a:noFill/>
                    </a:ln>
                  </pic:spPr>
                </pic:pic>
              </a:graphicData>
            </a:graphic>
          </wp:inline>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2914AA53-498D-4613-8108-2ADE23AE3888}"/>
  </w:font>
  <w:font w:name="仿宋_GB2312">
    <w:altName w:val="仿宋"/>
    <w:panose1 w:val="02010609030101010101"/>
    <w:charset w:val="86"/>
    <w:family w:val="auto"/>
    <w:pitch w:val="default"/>
    <w:sig w:usb0="00000000" w:usb1="00000000" w:usb2="00000000" w:usb3="00000000" w:csb0="00040000" w:csb1="00000000"/>
    <w:embedRegular r:id="rId2" w:fontKey="{7D858785-338E-40FE-8B48-11767E0FD3F5}"/>
  </w:font>
  <w:font w:name="方正小标宋简体">
    <w:panose1 w:val="02000000000000000000"/>
    <w:charset w:val="86"/>
    <w:family w:val="auto"/>
    <w:pitch w:val="default"/>
    <w:sig w:usb0="00000001" w:usb1="08000000" w:usb2="00000000" w:usb3="00000000" w:csb0="00040000" w:csb1="00000000"/>
    <w:embedRegular r:id="rId3" w:fontKey="{66679CDA-C796-4BF0-AF1D-351E1DE7B67F}"/>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131D1">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F17C7">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9EF17C7">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178C7"/>
    <w:multiLevelType w:val="multilevel"/>
    <w:tmpl w:val="E8A178C7"/>
    <w:lvl w:ilvl="0" w:tentative="0">
      <w:start w:val="1"/>
      <w:numFmt w:val="decimal"/>
      <w:suff w:val="nothing"/>
      <w:lvlText w:val="%1."/>
      <w:lvlJc w:val="left"/>
      <w:pPr>
        <w:ind w:left="425" w:hanging="425"/>
      </w:pPr>
      <w:rPr>
        <w:rFonts w:hint="default"/>
        <w:b/>
        <w:bCs/>
        <w:sz w:val="36"/>
        <w:szCs w:val="36"/>
      </w:rPr>
    </w:lvl>
    <w:lvl w:ilvl="1" w:tentative="0">
      <w:start w:val="1"/>
      <w:numFmt w:val="decimal"/>
      <w:suff w:val="nothing"/>
      <w:lvlText w:val="%1.%2."/>
      <w:lvlJc w:val="left"/>
      <w:pPr>
        <w:ind w:left="567" w:hanging="567"/>
      </w:pPr>
      <w:rPr>
        <w:rFonts w:hint="default"/>
        <w:b/>
        <w:bCs/>
        <w:sz w:val="32"/>
        <w:szCs w:val="32"/>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F2D374CA"/>
    <w:multiLevelType w:val="multilevel"/>
    <w:tmpl w:val="F2D374C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2">
    <w:nsid w:val="7E35CA29"/>
    <w:multiLevelType w:val="multilevel"/>
    <w:tmpl w:val="7E35CA29"/>
    <w:lvl w:ilvl="0" w:tentative="0">
      <w:start w:val="1"/>
      <w:numFmt w:val="decimal"/>
      <w:suff w:val="nothing"/>
      <w:lvlText w:val="%1"/>
      <w:lvlJc w:val="left"/>
      <w:pPr>
        <w:ind w:left="0" w:firstLine="0"/>
      </w:pPr>
      <w:rPr>
        <w:rFonts w:hint="default" w:ascii="宋体" w:hAnsi="宋体" w:eastAsia="宋体" w:cs="宋体"/>
      </w:rPr>
    </w:lvl>
    <w:lvl w:ilvl="1" w:tentative="0">
      <w:start w:val="1"/>
      <w:numFmt w:val="none"/>
      <w:lvlRestart w:val="0"/>
      <w:pStyle w:val="20"/>
      <w:suff w:val="space"/>
      <w:lvlText w:val="1.1."/>
      <w:lvlJc w:val="left"/>
      <w:pPr>
        <w:tabs>
          <w:tab w:val="left" w:pos="0"/>
        </w:tabs>
        <w:ind w:left="0" w:firstLine="0"/>
      </w:pPr>
      <w:rPr>
        <w:rFonts w:hint="default" w:ascii="宋体" w:hAnsi="宋体" w:eastAsia="宋体" w:cs="宋体"/>
        <w:sz w:val="28"/>
        <w:szCs w:val="28"/>
      </w:rPr>
    </w:lvl>
    <w:lvl w:ilvl="2" w:tentative="0">
      <w:start w:val="1"/>
      <w:numFmt w:val="decimal"/>
      <w:suff w:val="nothing"/>
      <w:lvlText w:val="（%3）"/>
      <w:lvlJc w:val="left"/>
      <w:pPr>
        <w:ind w:left="0" w:firstLine="0"/>
      </w:pPr>
      <w:rPr>
        <w:rFonts w:hint="eastAsia"/>
      </w:rPr>
    </w:lvl>
    <w:lvl w:ilvl="3" w:tentative="0">
      <w:start w:val="1"/>
      <w:numFmt w:val="decimalEnclosedCircleChinese"/>
      <w:suff w:val="nothing"/>
      <w:lvlText w:val="%4"/>
      <w:lvlJc w:val="left"/>
      <w:pPr>
        <w:ind w:left="0" w:firstLine="0"/>
      </w:pPr>
      <w:rPr>
        <w:rFonts w:hint="eastAsia"/>
      </w:rPr>
    </w:lvl>
    <w:lvl w:ilvl="4" w:tentative="0">
      <w:start w:val="1"/>
      <w:numFmt w:val="decimal"/>
      <w:suff w:val="nothing"/>
      <w:lvlText w:val="%5）"/>
      <w:lvlJc w:val="left"/>
      <w:pPr>
        <w:ind w:left="0" w:firstLine="0"/>
      </w:pPr>
      <w:rPr>
        <w:rFonts w:hint="eastAsia"/>
      </w:rPr>
    </w:lvl>
    <w:lvl w:ilvl="5" w:tentative="0">
      <w:start w:val="1"/>
      <w:numFmt w:val="lowerLetter"/>
      <w:suff w:val="nothing"/>
      <w:lvlText w:val="%6．"/>
      <w:lvlJc w:val="left"/>
      <w:pPr>
        <w:ind w:left="0" w:firstLine="0"/>
      </w:pPr>
      <w:rPr>
        <w:rFonts w:hint="eastAsia"/>
      </w:rPr>
    </w:lvl>
    <w:lvl w:ilvl="6" w:tentative="0">
      <w:start w:val="1"/>
      <w:numFmt w:val="lowerLetter"/>
      <w:suff w:val="nothing"/>
      <w:lvlText w:val="%7）"/>
      <w:lvlJc w:val="left"/>
      <w:pPr>
        <w:ind w:left="0" w:firstLine="0"/>
      </w:pPr>
      <w:rPr>
        <w:rFonts w:hint="eastAsia"/>
      </w:rPr>
    </w:lvl>
    <w:lvl w:ilvl="7" w:tentative="0">
      <w:start w:val="1"/>
      <w:numFmt w:val="lowerRoman"/>
      <w:suff w:val="nothing"/>
      <w:lvlText w:val="%8．"/>
      <w:lvlJc w:val="left"/>
      <w:pPr>
        <w:ind w:left="0" w:firstLine="0"/>
      </w:pPr>
      <w:rPr>
        <w:rFonts w:hint="eastAsia"/>
      </w:rPr>
    </w:lvl>
    <w:lvl w:ilvl="8" w:tentative="0">
      <w:start w:val="1"/>
      <w:numFmt w:val="lowerRoman"/>
      <w:suff w:val="nothing"/>
      <w:lvlText w:val="%9）"/>
      <w:lvlJc w:val="left"/>
      <w:pPr>
        <w:ind w:left="0" w:firstLine="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wODMyZGE3YzIwYTgxMDZiYTgyYmM4ODVjYjYwYmUifQ=="/>
  </w:docVars>
  <w:rsids>
    <w:rsidRoot w:val="00000000"/>
    <w:rsid w:val="00155351"/>
    <w:rsid w:val="004874D5"/>
    <w:rsid w:val="005C4D2E"/>
    <w:rsid w:val="00752CB6"/>
    <w:rsid w:val="007C717F"/>
    <w:rsid w:val="00824069"/>
    <w:rsid w:val="00867C9C"/>
    <w:rsid w:val="008C6C96"/>
    <w:rsid w:val="00B20DF2"/>
    <w:rsid w:val="00C11035"/>
    <w:rsid w:val="00C823C4"/>
    <w:rsid w:val="00C91C98"/>
    <w:rsid w:val="00D42B17"/>
    <w:rsid w:val="00F036C9"/>
    <w:rsid w:val="00FE7B94"/>
    <w:rsid w:val="0109689F"/>
    <w:rsid w:val="01207B0A"/>
    <w:rsid w:val="013D4B60"/>
    <w:rsid w:val="013E2686"/>
    <w:rsid w:val="020F7B7E"/>
    <w:rsid w:val="021F6013"/>
    <w:rsid w:val="024617F2"/>
    <w:rsid w:val="02532161"/>
    <w:rsid w:val="026E6F9B"/>
    <w:rsid w:val="027F6AB2"/>
    <w:rsid w:val="02D768EE"/>
    <w:rsid w:val="02FC1DFF"/>
    <w:rsid w:val="030B2A3C"/>
    <w:rsid w:val="03231B33"/>
    <w:rsid w:val="03415792"/>
    <w:rsid w:val="034D095E"/>
    <w:rsid w:val="036C34DA"/>
    <w:rsid w:val="03724869"/>
    <w:rsid w:val="0397607D"/>
    <w:rsid w:val="039C3694"/>
    <w:rsid w:val="03D42E2E"/>
    <w:rsid w:val="03E219EE"/>
    <w:rsid w:val="03E77D65"/>
    <w:rsid w:val="03F434D0"/>
    <w:rsid w:val="04510922"/>
    <w:rsid w:val="04722D72"/>
    <w:rsid w:val="04BD7D66"/>
    <w:rsid w:val="04DC01EC"/>
    <w:rsid w:val="04DE21B6"/>
    <w:rsid w:val="04EE6171"/>
    <w:rsid w:val="04FF3EDA"/>
    <w:rsid w:val="050A25F3"/>
    <w:rsid w:val="055E6E53"/>
    <w:rsid w:val="0560706F"/>
    <w:rsid w:val="05CD3FD8"/>
    <w:rsid w:val="05D215EF"/>
    <w:rsid w:val="05D830A9"/>
    <w:rsid w:val="060914B4"/>
    <w:rsid w:val="06322DE7"/>
    <w:rsid w:val="063D4CBA"/>
    <w:rsid w:val="069A3EBB"/>
    <w:rsid w:val="06BF7365"/>
    <w:rsid w:val="06E415DA"/>
    <w:rsid w:val="06E65352"/>
    <w:rsid w:val="0721282E"/>
    <w:rsid w:val="072639A0"/>
    <w:rsid w:val="073836D3"/>
    <w:rsid w:val="073F4A62"/>
    <w:rsid w:val="074A3B33"/>
    <w:rsid w:val="07630BDC"/>
    <w:rsid w:val="077741FC"/>
    <w:rsid w:val="078F59E9"/>
    <w:rsid w:val="07A1571D"/>
    <w:rsid w:val="07CF5DE6"/>
    <w:rsid w:val="07DB478B"/>
    <w:rsid w:val="07E51AAD"/>
    <w:rsid w:val="07EF6488"/>
    <w:rsid w:val="07FB4E2D"/>
    <w:rsid w:val="0802440D"/>
    <w:rsid w:val="080C703A"/>
    <w:rsid w:val="08202AE5"/>
    <w:rsid w:val="08236132"/>
    <w:rsid w:val="085E716A"/>
    <w:rsid w:val="0865499C"/>
    <w:rsid w:val="0869623A"/>
    <w:rsid w:val="087678FB"/>
    <w:rsid w:val="087B41C0"/>
    <w:rsid w:val="08966904"/>
    <w:rsid w:val="094B1DE4"/>
    <w:rsid w:val="095E38C5"/>
    <w:rsid w:val="097D1872"/>
    <w:rsid w:val="099512B1"/>
    <w:rsid w:val="099866AB"/>
    <w:rsid w:val="09AF5ECF"/>
    <w:rsid w:val="09C15C02"/>
    <w:rsid w:val="09D45935"/>
    <w:rsid w:val="09E33DCA"/>
    <w:rsid w:val="09E71B0D"/>
    <w:rsid w:val="09EF276F"/>
    <w:rsid w:val="0A075D0B"/>
    <w:rsid w:val="0A0D7099"/>
    <w:rsid w:val="0A4C5E14"/>
    <w:rsid w:val="0A5668EA"/>
    <w:rsid w:val="0A5922DF"/>
    <w:rsid w:val="0A656ED5"/>
    <w:rsid w:val="0AA96DC2"/>
    <w:rsid w:val="0AB87005"/>
    <w:rsid w:val="0AD41965"/>
    <w:rsid w:val="0B5F1B77"/>
    <w:rsid w:val="0BA17A99"/>
    <w:rsid w:val="0BB04180"/>
    <w:rsid w:val="0BC1013B"/>
    <w:rsid w:val="0BEA7692"/>
    <w:rsid w:val="0C0E410A"/>
    <w:rsid w:val="0C126BE9"/>
    <w:rsid w:val="0C394176"/>
    <w:rsid w:val="0C71390F"/>
    <w:rsid w:val="0CA830A9"/>
    <w:rsid w:val="0CDE6ACB"/>
    <w:rsid w:val="0CF02E12"/>
    <w:rsid w:val="0CF307C8"/>
    <w:rsid w:val="0D044784"/>
    <w:rsid w:val="0D4252AC"/>
    <w:rsid w:val="0D5D5C42"/>
    <w:rsid w:val="0D662D48"/>
    <w:rsid w:val="0D6E7E4F"/>
    <w:rsid w:val="0D927FE1"/>
    <w:rsid w:val="0D935B07"/>
    <w:rsid w:val="0DD34156"/>
    <w:rsid w:val="0DDD6D83"/>
    <w:rsid w:val="0DE27833"/>
    <w:rsid w:val="0E0367E9"/>
    <w:rsid w:val="0E1327A4"/>
    <w:rsid w:val="0E1A5AD0"/>
    <w:rsid w:val="0E214EC1"/>
    <w:rsid w:val="0E52151F"/>
    <w:rsid w:val="0E5B6625"/>
    <w:rsid w:val="0E72571D"/>
    <w:rsid w:val="0E7C659C"/>
    <w:rsid w:val="0E8611C8"/>
    <w:rsid w:val="0E8A6F0A"/>
    <w:rsid w:val="0EAF24CD"/>
    <w:rsid w:val="0EB6385C"/>
    <w:rsid w:val="0ED308B1"/>
    <w:rsid w:val="0EDB7766"/>
    <w:rsid w:val="0F1A439D"/>
    <w:rsid w:val="0F1C0B7D"/>
    <w:rsid w:val="0F2509E1"/>
    <w:rsid w:val="0F2A424A"/>
    <w:rsid w:val="0F3B6457"/>
    <w:rsid w:val="0F692FC4"/>
    <w:rsid w:val="0F895414"/>
    <w:rsid w:val="0FF94348"/>
    <w:rsid w:val="101608C2"/>
    <w:rsid w:val="103E7FAD"/>
    <w:rsid w:val="10596B94"/>
    <w:rsid w:val="105C6685"/>
    <w:rsid w:val="10857989"/>
    <w:rsid w:val="10AA5642"/>
    <w:rsid w:val="10BB33AB"/>
    <w:rsid w:val="10C77FA2"/>
    <w:rsid w:val="10E75832"/>
    <w:rsid w:val="1109680C"/>
    <w:rsid w:val="110C00AB"/>
    <w:rsid w:val="11AE1162"/>
    <w:rsid w:val="11CE35B2"/>
    <w:rsid w:val="11DE6E1F"/>
    <w:rsid w:val="12015736"/>
    <w:rsid w:val="122466F0"/>
    <w:rsid w:val="12331667"/>
    <w:rsid w:val="12521AED"/>
    <w:rsid w:val="125A4E46"/>
    <w:rsid w:val="12D20E80"/>
    <w:rsid w:val="12D744B8"/>
    <w:rsid w:val="12E83BA7"/>
    <w:rsid w:val="12EF558E"/>
    <w:rsid w:val="130B7EEE"/>
    <w:rsid w:val="130F5C30"/>
    <w:rsid w:val="13144FF5"/>
    <w:rsid w:val="131B193F"/>
    <w:rsid w:val="13427DB4"/>
    <w:rsid w:val="135B578E"/>
    <w:rsid w:val="139D323C"/>
    <w:rsid w:val="13AC16D1"/>
    <w:rsid w:val="13E137E2"/>
    <w:rsid w:val="13E1581F"/>
    <w:rsid w:val="13FD3CDB"/>
    <w:rsid w:val="143A0A8B"/>
    <w:rsid w:val="144B713C"/>
    <w:rsid w:val="145C6C53"/>
    <w:rsid w:val="145F04F1"/>
    <w:rsid w:val="14A800EA"/>
    <w:rsid w:val="14DE58BA"/>
    <w:rsid w:val="14E135FC"/>
    <w:rsid w:val="15135779"/>
    <w:rsid w:val="156C1118"/>
    <w:rsid w:val="1573694A"/>
    <w:rsid w:val="159D5775"/>
    <w:rsid w:val="159F14ED"/>
    <w:rsid w:val="15CF16A7"/>
    <w:rsid w:val="15E6711C"/>
    <w:rsid w:val="15F64E85"/>
    <w:rsid w:val="160B6B83"/>
    <w:rsid w:val="16113A6D"/>
    <w:rsid w:val="161B48EC"/>
    <w:rsid w:val="161D2412"/>
    <w:rsid w:val="16227A29"/>
    <w:rsid w:val="163E67F6"/>
    <w:rsid w:val="16481B85"/>
    <w:rsid w:val="164B6F7F"/>
    <w:rsid w:val="166167A3"/>
    <w:rsid w:val="16EB371E"/>
    <w:rsid w:val="16F413C5"/>
    <w:rsid w:val="16FC296F"/>
    <w:rsid w:val="17102766"/>
    <w:rsid w:val="17233A58"/>
    <w:rsid w:val="173D7210"/>
    <w:rsid w:val="174D4F79"/>
    <w:rsid w:val="17634260"/>
    <w:rsid w:val="178766DD"/>
    <w:rsid w:val="17E56F60"/>
    <w:rsid w:val="17EE050A"/>
    <w:rsid w:val="17EE22B8"/>
    <w:rsid w:val="17EE49F6"/>
    <w:rsid w:val="18BE612E"/>
    <w:rsid w:val="18DE0D7A"/>
    <w:rsid w:val="18E31B9B"/>
    <w:rsid w:val="18E436BB"/>
    <w:rsid w:val="1901397F"/>
    <w:rsid w:val="19173A91"/>
    <w:rsid w:val="19193365"/>
    <w:rsid w:val="192A51D8"/>
    <w:rsid w:val="193E2DCB"/>
    <w:rsid w:val="19640D43"/>
    <w:rsid w:val="198804EA"/>
    <w:rsid w:val="19A8293B"/>
    <w:rsid w:val="19B412DF"/>
    <w:rsid w:val="19EE47F1"/>
    <w:rsid w:val="19F44BD3"/>
    <w:rsid w:val="19FE255B"/>
    <w:rsid w:val="1A167102"/>
    <w:rsid w:val="1A1678A4"/>
    <w:rsid w:val="1A2226ED"/>
    <w:rsid w:val="1A2C356C"/>
    <w:rsid w:val="1A3F504D"/>
    <w:rsid w:val="1A4C59BC"/>
    <w:rsid w:val="1AB91166"/>
    <w:rsid w:val="1ABD2416"/>
    <w:rsid w:val="1AF000F5"/>
    <w:rsid w:val="1B0D6EF9"/>
    <w:rsid w:val="1B291859"/>
    <w:rsid w:val="1B351FAC"/>
    <w:rsid w:val="1B6805D3"/>
    <w:rsid w:val="1B6D1758"/>
    <w:rsid w:val="1B8076CB"/>
    <w:rsid w:val="1B8A054A"/>
    <w:rsid w:val="1BD45C69"/>
    <w:rsid w:val="1BF105C9"/>
    <w:rsid w:val="1C0E2F29"/>
    <w:rsid w:val="1C43595F"/>
    <w:rsid w:val="1C840C9A"/>
    <w:rsid w:val="1C8E1D68"/>
    <w:rsid w:val="1CA13D9D"/>
    <w:rsid w:val="1CA92C52"/>
    <w:rsid w:val="1CC57360"/>
    <w:rsid w:val="1D13456F"/>
    <w:rsid w:val="1D3F7112"/>
    <w:rsid w:val="1DA653E3"/>
    <w:rsid w:val="1DA90A2F"/>
    <w:rsid w:val="1DAA6C81"/>
    <w:rsid w:val="1DBA2C3C"/>
    <w:rsid w:val="1DC85359"/>
    <w:rsid w:val="1DDC2BB3"/>
    <w:rsid w:val="1DF20628"/>
    <w:rsid w:val="1E4A0464"/>
    <w:rsid w:val="1E5310C7"/>
    <w:rsid w:val="1E652BA8"/>
    <w:rsid w:val="1EA01E32"/>
    <w:rsid w:val="1EC51899"/>
    <w:rsid w:val="1EDD4E34"/>
    <w:rsid w:val="1EF06916"/>
    <w:rsid w:val="1EFB350D"/>
    <w:rsid w:val="1F0979D8"/>
    <w:rsid w:val="1F38650F"/>
    <w:rsid w:val="1F4849A4"/>
    <w:rsid w:val="1F552C1D"/>
    <w:rsid w:val="1F59542C"/>
    <w:rsid w:val="1F6B68E4"/>
    <w:rsid w:val="1FA0658E"/>
    <w:rsid w:val="1FA15E62"/>
    <w:rsid w:val="1FA871F0"/>
    <w:rsid w:val="1FAE057F"/>
    <w:rsid w:val="1FC009DE"/>
    <w:rsid w:val="1FD71884"/>
    <w:rsid w:val="20140D2A"/>
    <w:rsid w:val="201523AC"/>
    <w:rsid w:val="203171E6"/>
    <w:rsid w:val="20340A84"/>
    <w:rsid w:val="206765ED"/>
    <w:rsid w:val="206A42A1"/>
    <w:rsid w:val="20BD4F1E"/>
    <w:rsid w:val="20DA5ACF"/>
    <w:rsid w:val="20E24984"/>
    <w:rsid w:val="20F36B91"/>
    <w:rsid w:val="20FF1092"/>
    <w:rsid w:val="21311468"/>
    <w:rsid w:val="215018EE"/>
    <w:rsid w:val="215A09BE"/>
    <w:rsid w:val="21645399"/>
    <w:rsid w:val="21717AB6"/>
    <w:rsid w:val="2177331E"/>
    <w:rsid w:val="2197576F"/>
    <w:rsid w:val="21C67E02"/>
    <w:rsid w:val="21C854ED"/>
    <w:rsid w:val="21D342CD"/>
    <w:rsid w:val="21D97B35"/>
    <w:rsid w:val="220A4192"/>
    <w:rsid w:val="220D5A31"/>
    <w:rsid w:val="22482F0D"/>
    <w:rsid w:val="225E003A"/>
    <w:rsid w:val="22600256"/>
    <w:rsid w:val="22925F36"/>
    <w:rsid w:val="22A77C33"/>
    <w:rsid w:val="22BB548D"/>
    <w:rsid w:val="22DC30C2"/>
    <w:rsid w:val="23164DB9"/>
    <w:rsid w:val="232B0864"/>
    <w:rsid w:val="232F19D7"/>
    <w:rsid w:val="239F090A"/>
    <w:rsid w:val="23A128D5"/>
    <w:rsid w:val="23FB34CE"/>
    <w:rsid w:val="24150BCD"/>
    <w:rsid w:val="24381DBE"/>
    <w:rsid w:val="244871F4"/>
    <w:rsid w:val="244D0366"/>
    <w:rsid w:val="24861ACA"/>
    <w:rsid w:val="249D5940"/>
    <w:rsid w:val="24A7216D"/>
    <w:rsid w:val="24AC1531"/>
    <w:rsid w:val="253B28B5"/>
    <w:rsid w:val="25813496"/>
    <w:rsid w:val="25860DF5"/>
    <w:rsid w:val="258A1146"/>
    <w:rsid w:val="25965D3D"/>
    <w:rsid w:val="259A582D"/>
    <w:rsid w:val="25E940BF"/>
    <w:rsid w:val="263A0DBE"/>
    <w:rsid w:val="265A320F"/>
    <w:rsid w:val="26661BB3"/>
    <w:rsid w:val="2685203A"/>
    <w:rsid w:val="26AB5818"/>
    <w:rsid w:val="26AB75C6"/>
    <w:rsid w:val="26AD1590"/>
    <w:rsid w:val="26BE19EF"/>
    <w:rsid w:val="26E31456"/>
    <w:rsid w:val="26FC7E22"/>
    <w:rsid w:val="271C2272"/>
    <w:rsid w:val="274517C9"/>
    <w:rsid w:val="2749750B"/>
    <w:rsid w:val="27637EA1"/>
    <w:rsid w:val="27A75FE0"/>
    <w:rsid w:val="27EB411E"/>
    <w:rsid w:val="27FF5E1C"/>
    <w:rsid w:val="28237D5C"/>
    <w:rsid w:val="28332E4F"/>
    <w:rsid w:val="286032C5"/>
    <w:rsid w:val="28A40771"/>
    <w:rsid w:val="28E76FDC"/>
    <w:rsid w:val="29023E15"/>
    <w:rsid w:val="290D4568"/>
    <w:rsid w:val="292B1827"/>
    <w:rsid w:val="293A674B"/>
    <w:rsid w:val="294C32E2"/>
    <w:rsid w:val="298365D8"/>
    <w:rsid w:val="29AE7AF9"/>
    <w:rsid w:val="29BD1AEA"/>
    <w:rsid w:val="29BF3AB4"/>
    <w:rsid w:val="29E90B31"/>
    <w:rsid w:val="2A0352ED"/>
    <w:rsid w:val="2A063491"/>
    <w:rsid w:val="2A0C65CE"/>
    <w:rsid w:val="2A4144C9"/>
    <w:rsid w:val="2A677CA8"/>
    <w:rsid w:val="2B004385"/>
    <w:rsid w:val="2B0A6FB1"/>
    <w:rsid w:val="2B1B0F0F"/>
    <w:rsid w:val="2B481888"/>
    <w:rsid w:val="2B4C2FF7"/>
    <w:rsid w:val="2B4D6E9E"/>
    <w:rsid w:val="2B595843"/>
    <w:rsid w:val="2B667F60"/>
    <w:rsid w:val="2B6C7C6C"/>
    <w:rsid w:val="2BB331A5"/>
    <w:rsid w:val="2BBB4B27"/>
    <w:rsid w:val="2BC0103F"/>
    <w:rsid w:val="2BCE6231"/>
    <w:rsid w:val="2BD31A99"/>
    <w:rsid w:val="2BDD6474"/>
    <w:rsid w:val="2BF67536"/>
    <w:rsid w:val="2C2220D9"/>
    <w:rsid w:val="2C223EC6"/>
    <w:rsid w:val="2C2632ED"/>
    <w:rsid w:val="2C475FE3"/>
    <w:rsid w:val="2C493B09"/>
    <w:rsid w:val="2C5524AE"/>
    <w:rsid w:val="2C5F157F"/>
    <w:rsid w:val="2C7D37B3"/>
    <w:rsid w:val="2C83526D"/>
    <w:rsid w:val="2C844B41"/>
    <w:rsid w:val="2CD71115"/>
    <w:rsid w:val="2CEA709A"/>
    <w:rsid w:val="2CF75313"/>
    <w:rsid w:val="2D095047"/>
    <w:rsid w:val="2D2B320F"/>
    <w:rsid w:val="2D3B5B48"/>
    <w:rsid w:val="2D5628DD"/>
    <w:rsid w:val="2D5E35E4"/>
    <w:rsid w:val="2D616C31"/>
    <w:rsid w:val="2D687213"/>
    <w:rsid w:val="2DD45655"/>
    <w:rsid w:val="2DDB69E3"/>
    <w:rsid w:val="2DF47AA5"/>
    <w:rsid w:val="2DFC741C"/>
    <w:rsid w:val="2E1F78B6"/>
    <w:rsid w:val="2E5549E7"/>
    <w:rsid w:val="2E5A1FFE"/>
    <w:rsid w:val="2E6966E5"/>
    <w:rsid w:val="2E8B21B7"/>
    <w:rsid w:val="2EA339A5"/>
    <w:rsid w:val="2EA63495"/>
    <w:rsid w:val="2EBD481C"/>
    <w:rsid w:val="2ECE02F6"/>
    <w:rsid w:val="2EFF324B"/>
    <w:rsid w:val="2F0C43A4"/>
    <w:rsid w:val="2F503401"/>
    <w:rsid w:val="2F520F27"/>
    <w:rsid w:val="2F571BAE"/>
    <w:rsid w:val="2F5E5B1E"/>
    <w:rsid w:val="2FA33530"/>
    <w:rsid w:val="2FAF6379"/>
    <w:rsid w:val="2FB43990"/>
    <w:rsid w:val="2FF124EE"/>
    <w:rsid w:val="300A1801"/>
    <w:rsid w:val="30134B5A"/>
    <w:rsid w:val="302D729E"/>
    <w:rsid w:val="306F78B6"/>
    <w:rsid w:val="30894E1C"/>
    <w:rsid w:val="30E42053"/>
    <w:rsid w:val="30F027A5"/>
    <w:rsid w:val="30FA3624"/>
    <w:rsid w:val="30FD3114"/>
    <w:rsid w:val="312A7AFC"/>
    <w:rsid w:val="313C1E8F"/>
    <w:rsid w:val="31603DCF"/>
    <w:rsid w:val="316311C9"/>
    <w:rsid w:val="31684E79"/>
    <w:rsid w:val="318C4BC4"/>
    <w:rsid w:val="31975317"/>
    <w:rsid w:val="31982428"/>
    <w:rsid w:val="31E3230A"/>
    <w:rsid w:val="320F1351"/>
    <w:rsid w:val="321D581C"/>
    <w:rsid w:val="32496611"/>
    <w:rsid w:val="32717916"/>
    <w:rsid w:val="32A0644D"/>
    <w:rsid w:val="32F04CDF"/>
    <w:rsid w:val="32FE733B"/>
    <w:rsid w:val="33043FA7"/>
    <w:rsid w:val="33602DC2"/>
    <w:rsid w:val="336B25B7"/>
    <w:rsid w:val="339A2E9C"/>
    <w:rsid w:val="33A1247D"/>
    <w:rsid w:val="33B0446E"/>
    <w:rsid w:val="33BB353F"/>
    <w:rsid w:val="33BE6B8B"/>
    <w:rsid w:val="33D463AE"/>
    <w:rsid w:val="33D95773"/>
    <w:rsid w:val="33DF6B01"/>
    <w:rsid w:val="33FB7DDF"/>
    <w:rsid w:val="34086058"/>
    <w:rsid w:val="34362BC5"/>
    <w:rsid w:val="345D2848"/>
    <w:rsid w:val="346314E0"/>
    <w:rsid w:val="3482405C"/>
    <w:rsid w:val="348F0527"/>
    <w:rsid w:val="34B671A9"/>
    <w:rsid w:val="34C6319F"/>
    <w:rsid w:val="34C71A6F"/>
    <w:rsid w:val="34EE16F2"/>
    <w:rsid w:val="35380BBF"/>
    <w:rsid w:val="35A65B28"/>
    <w:rsid w:val="35A70F55"/>
    <w:rsid w:val="35FE7713"/>
    <w:rsid w:val="361707D4"/>
    <w:rsid w:val="36201D7F"/>
    <w:rsid w:val="362C24D2"/>
    <w:rsid w:val="36321AB2"/>
    <w:rsid w:val="36394BEF"/>
    <w:rsid w:val="363E0457"/>
    <w:rsid w:val="36405F1E"/>
    <w:rsid w:val="36624145"/>
    <w:rsid w:val="36A71B58"/>
    <w:rsid w:val="36A91D74"/>
    <w:rsid w:val="36B129D7"/>
    <w:rsid w:val="36FB00F6"/>
    <w:rsid w:val="371A4A20"/>
    <w:rsid w:val="376D0FF4"/>
    <w:rsid w:val="376D2DA2"/>
    <w:rsid w:val="37920A5A"/>
    <w:rsid w:val="37C8447C"/>
    <w:rsid w:val="37E666B0"/>
    <w:rsid w:val="37F214F9"/>
    <w:rsid w:val="37F60FE9"/>
    <w:rsid w:val="37FC0B0F"/>
    <w:rsid w:val="38284F1B"/>
    <w:rsid w:val="38883C0B"/>
    <w:rsid w:val="388F0AF6"/>
    <w:rsid w:val="38B029C4"/>
    <w:rsid w:val="38C06F01"/>
    <w:rsid w:val="38E52E0C"/>
    <w:rsid w:val="39134975"/>
    <w:rsid w:val="39237490"/>
    <w:rsid w:val="392456E2"/>
    <w:rsid w:val="39363667"/>
    <w:rsid w:val="3962620A"/>
    <w:rsid w:val="39754190"/>
    <w:rsid w:val="39812B34"/>
    <w:rsid w:val="39A15CD6"/>
    <w:rsid w:val="39A20CFD"/>
    <w:rsid w:val="39C173D5"/>
    <w:rsid w:val="39CE1AF2"/>
    <w:rsid w:val="39CE38A0"/>
    <w:rsid w:val="39EE5CF0"/>
    <w:rsid w:val="3A257964"/>
    <w:rsid w:val="3A3758E9"/>
    <w:rsid w:val="3A377697"/>
    <w:rsid w:val="3A3C4CAD"/>
    <w:rsid w:val="3A7461F5"/>
    <w:rsid w:val="3A8521B0"/>
    <w:rsid w:val="3ADB6274"/>
    <w:rsid w:val="3AEC0481"/>
    <w:rsid w:val="3B007A89"/>
    <w:rsid w:val="3B2C087E"/>
    <w:rsid w:val="3B4007CD"/>
    <w:rsid w:val="3B585B17"/>
    <w:rsid w:val="3B6E0E96"/>
    <w:rsid w:val="3B7B35B3"/>
    <w:rsid w:val="3B8F46CB"/>
    <w:rsid w:val="3BD80A06"/>
    <w:rsid w:val="3BE178BA"/>
    <w:rsid w:val="3BE92C13"/>
    <w:rsid w:val="3C241E9D"/>
    <w:rsid w:val="3C495460"/>
    <w:rsid w:val="3C5A58BF"/>
    <w:rsid w:val="3C7B2BFF"/>
    <w:rsid w:val="3C81109D"/>
    <w:rsid w:val="3C917532"/>
    <w:rsid w:val="3C940DD1"/>
    <w:rsid w:val="3C9E3981"/>
    <w:rsid w:val="3CA95F37"/>
    <w:rsid w:val="3CCA034E"/>
    <w:rsid w:val="3D01720A"/>
    <w:rsid w:val="3D141F11"/>
    <w:rsid w:val="3D29776B"/>
    <w:rsid w:val="3D314871"/>
    <w:rsid w:val="3D5642D8"/>
    <w:rsid w:val="3D5D11C3"/>
    <w:rsid w:val="3D6C3AFB"/>
    <w:rsid w:val="3D803103"/>
    <w:rsid w:val="3D8F1598"/>
    <w:rsid w:val="3DA212CB"/>
    <w:rsid w:val="3DA43295"/>
    <w:rsid w:val="3DE90CA8"/>
    <w:rsid w:val="3E09759C"/>
    <w:rsid w:val="3E595E2E"/>
    <w:rsid w:val="3E6D18D9"/>
    <w:rsid w:val="3E6E11AD"/>
    <w:rsid w:val="3E6F5651"/>
    <w:rsid w:val="3E815385"/>
    <w:rsid w:val="3E9450B8"/>
    <w:rsid w:val="3ECF4342"/>
    <w:rsid w:val="3ED41958"/>
    <w:rsid w:val="3F0A537A"/>
    <w:rsid w:val="3F261A88"/>
    <w:rsid w:val="3F277CDA"/>
    <w:rsid w:val="3F2A5A1C"/>
    <w:rsid w:val="3F2B709E"/>
    <w:rsid w:val="3F3146B5"/>
    <w:rsid w:val="3F381EE7"/>
    <w:rsid w:val="3F424B14"/>
    <w:rsid w:val="3FE92038"/>
    <w:rsid w:val="3FFC1167"/>
    <w:rsid w:val="3FFE66B6"/>
    <w:rsid w:val="403E177F"/>
    <w:rsid w:val="4047615A"/>
    <w:rsid w:val="4061546E"/>
    <w:rsid w:val="409C46F8"/>
    <w:rsid w:val="40BB2DD0"/>
    <w:rsid w:val="40E51BFB"/>
    <w:rsid w:val="40FC5196"/>
    <w:rsid w:val="41032081"/>
    <w:rsid w:val="41A35612"/>
    <w:rsid w:val="41DD6D76"/>
    <w:rsid w:val="421A3B26"/>
    <w:rsid w:val="421B789E"/>
    <w:rsid w:val="428B4BBB"/>
    <w:rsid w:val="429A6A15"/>
    <w:rsid w:val="42B0448A"/>
    <w:rsid w:val="43056584"/>
    <w:rsid w:val="431467C7"/>
    <w:rsid w:val="431B5DA8"/>
    <w:rsid w:val="4335673E"/>
    <w:rsid w:val="437D7FC8"/>
    <w:rsid w:val="43BC29BB"/>
    <w:rsid w:val="43C04259"/>
    <w:rsid w:val="43E268C5"/>
    <w:rsid w:val="442073EE"/>
    <w:rsid w:val="442C18EF"/>
    <w:rsid w:val="446472DA"/>
    <w:rsid w:val="44D34460"/>
    <w:rsid w:val="44D97CC8"/>
    <w:rsid w:val="451E392D"/>
    <w:rsid w:val="452151CC"/>
    <w:rsid w:val="455E0543"/>
    <w:rsid w:val="4562595D"/>
    <w:rsid w:val="457B0D80"/>
    <w:rsid w:val="45855897"/>
    <w:rsid w:val="45997458"/>
    <w:rsid w:val="45A73923"/>
    <w:rsid w:val="45AD6A5F"/>
    <w:rsid w:val="45BE6EBE"/>
    <w:rsid w:val="45C81AEB"/>
    <w:rsid w:val="461865CE"/>
    <w:rsid w:val="461E795D"/>
    <w:rsid w:val="46323D07"/>
    <w:rsid w:val="463C292F"/>
    <w:rsid w:val="46616769"/>
    <w:rsid w:val="46717A8D"/>
    <w:rsid w:val="468772B0"/>
    <w:rsid w:val="469A6FE4"/>
    <w:rsid w:val="46FA5CD4"/>
    <w:rsid w:val="47095904"/>
    <w:rsid w:val="473F5DDD"/>
    <w:rsid w:val="475C698F"/>
    <w:rsid w:val="476615BC"/>
    <w:rsid w:val="478A5134"/>
    <w:rsid w:val="478F28C0"/>
    <w:rsid w:val="479B1265"/>
    <w:rsid w:val="479B74B7"/>
    <w:rsid w:val="479E48B1"/>
    <w:rsid w:val="47AD2D46"/>
    <w:rsid w:val="47B24801"/>
    <w:rsid w:val="47EB386F"/>
    <w:rsid w:val="47F57213"/>
    <w:rsid w:val="483D056E"/>
    <w:rsid w:val="48822425"/>
    <w:rsid w:val="48990868"/>
    <w:rsid w:val="48AE321A"/>
    <w:rsid w:val="48CC544E"/>
    <w:rsid w:val="48CE7418"/>
    <w:rsid w:val="495518E8"/>
    <w:rsid w:val="49557B3A"/>
    <w:rsid w:val="495B51C5"/>
    <w:rsid w:val="495C2C76"/>
    <w:rsid w:val="496833C9"/>
    <w:rsid w:val="496F29A9"/>
    <w:rsid w:val="49753D38"/>
    <w:rsid w:val="49902920"/>
    <w:rsid w:val="49942410"/>
    <w:rsid w:val="49951CE4"/>
    <w:rsid w:val="49BE748D"/>
    <w:rsid w:val="49CA5E32"/>
    <w:rsid w:val="49F7299F"/>
    <w:rsid w:val="4A0A26D2"/>
    <w:rsid w:val="4A0D21C2"/>
    <w:rsid w:val="4A2D4613"/>
    <w:rsid w:val="4A946440"/>
    <w:rsid w:val="4AAB009E"/>
    <w:rsid w:val="4B076C12"/>
    <w:rsid w:val="4B456118"/>
    <w:rsid w:val="4B5E0F27"/>
    <w:rsid w:val="4B667DDC"/>
    <w:rsid w:val="4B700C5B"/>
    <w:rsid w:val="4BC131D4"/>
    <w:rsid w:val="4BDE7972"/>
    <w:rsid w:val="4BE96317"/>
    <w:rsid w:val="4C304D44"/>
    <w:rsid w:val="4C392DFB"/>
    <w:rsid w:val="4C465518"/>
    <w:rsid w:val="4C92075D"/>
    <w:rsid w:val="4C975D73"/>
    <w:rsid w:val="4CB16E35"/>
    <w:rsid w:val="4CCE79E7"/>
    <w:rsid w:val="4D6D36A4"/>
    <w:rsid w:val="4D7C38E7"/>
    <w:rsid w:val="4D7E2C88"/>
    <w:rsid w:val="4D9F75D5"/>
    <w:rsid w:val="4DA60964"/>
    <w:rsid w:val="4DBD6276"/>
    <w:rsid w:val="4E067654"/>
    <w:rsid w:val="4E235418"/>
    <w:rsid w:val="4E361CE8"/>
    <w:rsid w:val="4E6F0D56"/>
    <w:rsid w:val="4E740A62"/>
    <w:rsid w:val="4E9904C8"/>
    <w:rsid w:val="4EB33338"/>
    <w:rsid w:val="4EC372F3"/>
    <w:rsid w:val="4F1E452A"/>
    <w:rsid w:val="4F2204BE"/>
    <w:rsid w:val="4F42290E"/>
    <w:rsid w:val="4F443F90"/>
    <w:rsid w:val="4F473A81"/>
    <w:rsid w:val="4F8B7E11"/>
    <w:rsid w:val="4F8E7901"/>
    <w:rsid w:val="4FC155E1"/>
    <w:rsid w:val="4FEE65F2"/>
    <w:rsid w:val="4FF21C3E"/>
    <w:rsid w:val="4FF97471"/>
    <w:rsid w:val="4FFC486B"/>
    <w:rsid w:val="4FFF25AD"/>
    <w:rsid w:val="5006393C"/>
    <w:rsid w:val="50447FC0"/>
    <w:rsid w:val="50463D38"/>
    <w:rsid w:val="50E53551"/>
    <w:rsid w:val="50E61077"/>
    <w:rsid w:val="50F25C6E"/>
    <w:rsid w:val="5107796B"/>
    <w:rsid w:val="511D718F"/>
    <w:rsid w:val="512027DB"/>
    <w:rsid w:val="512C5624"/>
    <w:rsid w:val="51312C3A"/>
    <w:rsid w:val="51615A71"/>
    <w:rsid w:val="517D7C2E"/>
    <w:rsid w:val="51956D25"/>
    <w:rsid w:val="51AC406F"/>
    <w:rsid w:val="51D11D27"/>
    <w:rsid w:val="51DD06CC"/>
    <w:rsid w:val="51FD48CA"/>
    <w:rsid w:val="523522B6"/>
    <w:rsid w:val="52642B9B"/>
    <w:rsid w:val="52833022"/>
    <w:rsid w:val="52CA50F4"/>
    <w:rsid w:val="52EA12F3"/>
    <w:rsid w:val="52F932E4"/>
    <w:rsid w:val="53220A8C"/>
    <w:rsid w:val="534053B7"/>
    <w:rsid w:val="538708F0"/>
    <w:rsid w:val="53980D4F"/>
    <w:rsid w:val="539D6C15"/>
    <w:rsid w:val="53B35B89"/>
    <w:rsid w:val="53B51901"/>
    <w:rsid w:val="53C315D6"/>
    <w:rsid w:val="53C438F2"/>
    <w:rsid w:val="53D77AC9"/>
    <w:rsid w:val="5422686A"/>
    <w:rsid w:val="542E520F"/>
    <w:rsid w:val="544D38E7"/>
    <w:rsid w:val="546D5D37"/>
    <w:rsid w:val="548337AD"/>
    <w:rsid w:val="5486329D"/>
    <w:rsid w:val="54880DC3"/>
    <w:rsid w:val="549B4B77"/>
    <w:rsid w:val="54A454D1"/>
    <w:rsid w:val="54C36E1C"/>
    <w:rsid w:val="54F975CB"/>
    <w:rsid w:val="550A17D8"/>
    <w:rsid w:val="551408A9"/>
    <w:rsid w:val="552D54C7"/>
    <w:rsid w:val="554F7907"/>
    <w:rsid w:val="555E131C"/>
    <w:rsid w:val="5563538C"/>
    <w:rsid w:val="55733821"/>
    <w:rsid w:val="55823A64"/>
    <w:rsid w:val="558B2B0C"/>
    <w:rsid w:val="559317CE"/>
    <w:rsid w:val="559D43FA"/>
    <w:rsid w:val="55C91693"/>
    <w:rsid w:val="55E262B1"/>
    <w:rsid w:val="55F12998"/>
    <w:rsid w:val="56260894"/>
    <w:rsid w:val="562E14F6"/>
    <w:rsid w:val="5697353F"/>
    <w:rsid w:val="56DF0A43"/>
    <w:rsid w:val="56FB0463"/>
    <w:rsid w:val="57064221"/>
    <w:rsid w:val="57154098"/>
    <w:rsid w:val="57A557E8"/>
    <w:rsid w:val="580746F5"/>
    <w:rsid w:val="583533FD"/>
    <w:rsid w:val="583B614D"/>
    <w:rsid w:val="58586CFE"/>
    <w:rsid w:val="586D67E5"/>
    <w:rsid w:val="5875340D"/>
    <w:rsid w:val="58920462"/>
    <w:rsid w:val="589C4E3D"/>
    <w:rsid w:val="58A75590"/>
    <w:rsid w:val="58CF1F25"/>
    <w:rsid w:val="58E0107D"/>
    <w:rsid w:val="58E97957"/>
    <w:rsid w:val="590F1AB3"/>
    <w:rsid w:val="59485930"/>
    <w:rsid w:val="59975605"/>
    <w:rsid w:val="599E2E37"/>
    <w:rsid w:val="59F775DD"/>
    <w:rsid w:val="59FD5DAF"/>
    <w:rsid w:val="5A3B68D8"/>
    <w:rsid w:val="5A8D7133"/>
    <w:rsid w:val="5A932270"/>
    <w:rsid w:val="5AA91A93"/>
    <w:rsid w:val="5AC16DDD"/>
    <w:rsid w:val="5AC8016B"/>
    <w:rsid w:val="5AF745AD"/>
    <w:rsid w:val="5AFF3D84"/>
    <w:rsid w:val="5B044F1C"/>
    <w:rsid w:val="5B1946BA"/>
    <w:rsid w:val="5B286E5C"/>
    <w:rsid w:val="5B413A7A"/>
    <w:rsid w:val="5B433C96"/>
    <w:rsid w:val="5B4A6DD2"/>
    <w:rsid w:val="5B61236E"/>
    <w:rsid w:val="5B634300"/>
    <w:rsid w:val="5BB64468"/>
    <w:rsid w:val="5BCC5A39"/>
    <w:rsid w:val="5BD7618C"/>
    <w:rsid w:val="5C0C052C"/>
    <w:rsid w:val="5C4C26D6"/>
    <w:rsid w:val="5C510B34"/>
    <w:rsid w:val="5C5123E2"/>
    <w:rsid w:val="5CAE513F"/>
    <w:rsid w:val="5CCB7A9F"/>
    <w:rsid w:val="5CD56B70"/>
    <w:rsid w:val="5CDA23D8"/>
    <w:rsid w:val="5D1551BE"/>
    <w:rsid w:val="5D2624DC"/>
    <w:rsid w:val="5D2E002E"/>
    <w:rsid w:val="5D4810F0"/>
    <w:rsid w:val="5D535CE6"/>
    <w:rsid w:val="5D5977A1"/>
    <w:rsid w:val="5D650DB4"/>
    <w:rsid w:val="5D6D0E69"/>
    <w:rsid w:val="5D7243BE"/>
    <w:rsid w:val="5D8D744A"/>
    <w:rsid w:val="5DBE7604"/>
    <w:rsid w:val="5DC32E6C"/>
    <w:rsid w:val="5DD45079"/>
    <w:rsid w:val="5DE27796"/>
    <w:rsid w:val="5E2356B9"/>
    <w:rsid w:val="5E6C2124"/>
    <w:rsid w:val="5E79352B"/>
    <w:rsid w:val="5E930A90"/>
    <w:rsid w:val="5EBA426F"/>
    <w:rsid w:val="5EBB59E9"/>
    <w:rsid w:val="5EE035AA"/>
    <w:rsid w:val="5F13397F"/>
    <w:rsid w:val="5F13572D"/>
    <w:rsid w:val="5F427DC1"/>
    <w:rsid w:val="5F73441E"/>
    <w:rsid w:val="5FD50C35"/>
    <w:rsid w:val="5FDF3861"/>
    <w:rsid w:val="5FF7504F"/>
    <w:rsid w:val="60363DC9"/>
    <w:rsid w:val="609B59DA"/>
    <w:rsid w:val="60CA4511"/>
    <w:rsid w:val="60F33A68"/>
    <w:rsid w:val="60FC5BED"/>
    <w:rsid w:val="612105D5"/>
    <w:rsid w:val="61500EBB"/>
    <w:rsid w:val="61700C15"/>
    <w:rsid w:val="617B2468"/>
    <w:rsid w:val="61954B1F"/>
    <w:rsid w:val="61BF394A"/>
    <w:rsid w:val="61C15914"/>
    <w:rsid w:val="61E913A1"/>
    <w:rsid w:val="620D6DAC"/>
    <w:rsid w:val="623954AB"/>
    <w:rsid w:val="62402CDD"/>
    <w:rsid w:val="62620EA5"/>
    <w:rsid w:val="62685D90"/>
    <w:rsid w:val="62712E97"/>
    <w:rsid w:val="62782477"/>
    <w:rsid w:val="62BB2364"/>
    <w:rsid w:val="62E573E1"/>
    <w:rsid w:val="62E73159"/>
    <w:rsid w:val="63A454EE"/>
    <w:rsid w:val="63B079EF"/>
    <w:rsid w:val="63D53536"/>
    <w:rsid w:val="63D57455"/>
    <w:rsid w:val="6408782B"/>
    <w:rsid w:val="64151F48"/>
    <w:rsid w:val="64175CC0"/>
    <w:rsid w:val="641E605D"/>
    <w:rsid w:val="644F0FB6"/>
    <w:rsid w:val="645F0A48"/>
    <w:rsid w:val="64C86FBA"/>
    <w:rsid w:val="64D8544F"/>
    <w:rsid w:val="64F953C5"/>
    <w:rsid w:val="6518584B"/>
    <w:rsid w:val="651A5A67"/>
    <w:rsid w:val="65295CAB"/>
    <w:rsid w:val="65426D6C"/>
    <w:rsid w:val="65440F0D"/>
    <w:rsid w:val="6549634D"/>
    <w:rsid w:val="65660CAD"/>
    <w:rsid w:val="6578453C"/>
    <w:rsid w:val="657A02B4"/>
    <w:rsid w:val="65D911ED"/>
    <w:rsid w:val="661E1587"/>
    <w:rsid w:val="66434B4A"/>
    <w:rsid w:val="66A51361"/>
    <w:rsid w:val="66D470B2"/>
    <w:rsid w:val="66FD119D"/>
    <w:rsid w:val="6727621A"/>
    <w:rsid w:val="67340937"/>
    <w:rsid w:val="67397CFB"/>
    <w:rsid w:val="673F17B5"/>
    <w:rsid w:val="675E7762"/>
    <w:rsid w:val="677E1BB2"/>
    <w:rsid w:val="678B49FB"/>
    <w:rsid w:val="67A015E6"/>
    <w:rsid w:val="67C147FE"/>
    <w:rsid w:val="67C972D1"/>
    <w:rsid w:val="67DB0DB2"/>
    <w:rsid w:val="67EE4F89"/>
    <w:rsid w:val="68224151"/>
    <w:rsid w:val="682E5386"/>
    <w:rsid w:val="68790CF7"/>
    <w:rsid w:val="68945B31"/>
    <w:rsid w:val="689773CF"/>
    <w:rsid w:val="68996CA3"/>
    <w:rsid w:val="68C47A98"/>
    <w:rsid w:val="68D0468F"/>
    <w:rsid w:val="68F24605"/>
    <w:rsid w:val="691B1DAE"/>
    <w:rsid w:val="692D1AE1"/>
    <w:rsid w:val="69457CDE"/>
    <w:rsid w:val="69474951"/>
    <w:rsid w:val="69561038"/>
    <w:rsid w:val="69564B94"/>
    <w:rsid w:val="695B21AB"/>
    <w:rsid w:val="696C260A"/>
    <w:rsid w:val="698A6F34"/>
    <w:rsid w:val="698C77F2"/>
    <w:rsid w:val="69C836F6"/>
    <w:rsid w:val="69DA7573"/>
    <w:rsid w:val="69E93C5A"/>
    <w:rsid w:val="6A022F6E"/>
    <w:rsid w:val="6A0740E0"/>
    <w:rsid w:val="6A0E391A"/>
    <w:rsid w:val="6A16113C"/>
    <w:rsid w:val="6A2E5B11"/>
    <w:rsid w:val="6A396522"/>
    <w:rsid w:val="6A7379C8"/>
    <w:rsid w:val="6A7D43A3"/>
    <w:rsid w:val="6A8D2838"/>
    <w:rsid w:val="6A9040D6"/>
    <w:rsid w:val="6AB204F0"/>
    <w:rsid w:val="6AB57FE0"/>
    <w:rsid w:val="6B9320D0"/>
    <w:rsid w:val="6BEA5A68"/>
    <w:rsid w:val="6BFA214F"/>
    <w:rsid w:val="6C011B1E"/>
    <w:rsid w:val="6C3118E9"/>
    <w:rsid w:val="6C4B6506"/>
    <w:rsid w:val="6C517895"/>
    <w:rsid w:val="6C9C6D62"/>
    <w:rsid w:val="6CA67BE1"/>
    <w:rsid w:val="6CB542C8"/>
    <w:rsid w:val="6D0B3EE8"/>
    <w:rsid w:val="6D0F39D8"/>
    <w:rsid w:val="6D396CA7"/>
    <w:rsid w:val="6D5B09CB"/>
    <w:rsid w:val="6D793547"/>
    <w:rsid w:val="6D8617C0"/>
    <w:rsid w:val="6D8C5028"/>
    <w:rsid w:val="6DA5433C"/>
    <w:rsid w:val="6DB915CE"/>
    <w:rsid w:val="6DC26C9C"/>
    <w:rsid w:val="6DCA78FF"/>
    <w:rsid w:val="6E150E04"/>
    <w:rsid w:val="6E2039C3"/>
    <w:rsid w:val="6E2214E9"/>
    <w:rsid w:val="6E2A65EF"/>
    <w:rsid w:val="6E34121C"/>
    <w:rsid w:val="6E386F5E"/>
    <w:rsid w:val="6E427DDD"/>
    <w:rsid w:val="6E453429"/>
    <w:rsid w:val="6E7B23D7"/>
    <w:rsid w:val="6E891568"/>
    <w:rsid w:val="6E8B781F"/>
    <w:rsid w:val="6E8C2E06"/>
    <w:rsid w:val="6EAB5982"/>
    <w:rsid w:val="6EBE3907"/>
    <w:rsid w:val="6EC72090"/>
    <w:rsid w:val="6ECB392F"/>
    <w:rsid w:val="6ED36C87"/>
    <w:rsid w:val="6EF70BC7"/>
    <w:rsid w:val="6F046E40"/>
    <w:rsid w:val="6F06705D"/>
    <w:rsid w:val="6F173018"/>
    <w:rsid w:val="6F180E6B"/>
    <w:rsid w:val="6F9B1553"/>
    <w:rsid w:val="6FCE7B7A"/>
    <w:rsid w:val="700510C2"/>
    <w:rsid w:val="700C6FB0"/>
    <w:rsid w:val="70161521"/>
    <w:rsid w:val="702C664F"/>
    <w:rsid w:val="70651B61"/>
    <w:rsid w:val="706B361B"/>
    <w:rsid w:val="70950698"/>
    <w:rsid w:val="70C26FB3"/>
    <w:rsid w:val="70CE6331"/>
    <w:rsid w:val="70F353BF"/>
    <w:rsid w:val="70F76C5D"/>
    <w:rsid w:val="71397275"/>
    <w:rsid w:val="714E0847"/>
    <w:rsid w:val="715F4802"/>
    <w:rsid w:val="71A32941"/>
    <w:rsid w:val="71BC1C54"/>
    <w:rsid w:val="71BE59CD"/>
    <w:rsid w:val="71C64881"/>
    <w:rsid w:val="72062233"/>
    <w:rsid w:val="72062ED0"/>
    <w:rsid w:val="723D4B43"/>
    <w:rsid w:val="72402885"/>
    <w:rsid w:val="726512F7"/>
    <w:rsid w:val="72A2709C"/>
    <w:rsid w:val="72B312A9"/>
    <w:rsid w:val="72BD7A32"/>
    <w:rsid w:val="72E43211"/>
    <w:rsid w:val="72F1592E"/>
    <w:rsid w:val="73090EC9"/>
    <w:rsid w:val="7352461E"/>
    <w:rsid w:val="73BB1DFB"/>
    <w:rsid w:val="73C846A5"/>
    <w:rsid w:val="73D96AEE"/>
    <w:rsid w:val="740A314B"/>
    <w:rsid w:val="74561EEC"/>
    <w:rsid w:val="747800B5"/>
    <w:rsid w:val="748702F8"/>
    <w:rsid w:val="748D1686"/>
    <w:rsid w:val="748F3650"/>
    <w:rsid w:val="7494528C"/>
    <w:rsid w:val="74C432FA"/>
    <w:rsid w:val="74CF1C9F"/>
    <w:rsid w:val="74D13C69"/>
    <w:rsid w:val="750202C6"/>
    <w:rsid w:val="750B717B"/>
    <w:rsid w:val="7547765A"/>
    <w:rsid w:val="75556648"/>
    <w:rsid w:val="7556724D"/>
    <w:rsid w:val="75874327"/>
    <w:rsid w:val="75A60C51"/>
    <w:rsid w:val="75D94B83"/>
    <w:rsid w:val="75E93F02"/>
    <w:rsid w:val="75F25C45"/>
    <w:rsid w:val="75F419BD"/>
    <w:rsid w:val="75F93477"/>
    <w:rsid w:val="76116A13"/>
    <w:rsid w:val="7630676D"/>
    <w:rsid w:val="763E532E"/>
    <w:rsid w:val="765608C9"/>
    <w:rsid w:val="766852E2"/>
    <w:rsid w:val="769A3BE4"/>
    <w:rsid w:val="76A07D97"/>
    <w:rsid w:val="76AE6010"/>
    <w:rsid w:val="76B178AE"/>
    <w:rsid w:val="76CA6BC2"/>
    <w:rsid w:val="76D31F1A"/>
    <w:rsid w:val="77000835"/>
    <w:rsid w:val="771D13E7"/>
    <w:rsid w:val="771F2A69"/>
    <w:rsid w:val="775B0BFF"/>
    <w:rsid w:val="776E0ADE"/>
    <w:rsid w:val="77935205"/>
    <w:rsid w:val="779C055E"/>
    <w:rsid w:val="782317B7"/>
    <w:rsid w:val="787B63C5"/>
    <w:rsid w:val="787D038F"/>
    <w:rsid w:val="78B47B29"/>
    <w:rsid w:val="78B813C8"/>
    <w:rsid w:val="79200D1B"/>
    <w:rsid w:val="794E3ADA"/>
    <w:rsid w:val="795F16F3"/>
    <w:rsid w:val="799A287B"/>
    <w:rsid w:val="79E00DF6"/>
    <w:rsid w:val="79ED6E4F"/>
    <w:rsid w:val="79F264B1"/>
    <w:rsid w:val="7A0348C4"/>
    <w:rsid w:val="7A106FE1"/>
    <w:rsid w:val="7A1E34AC"/>
    <w:rsid w:val="7A293BFF"/>
    <w:rsid w:val="7A37434B"/>
    <w:rsid w:val="7A37456E"/>
    <w:rsid w:val="7A41363F"/>
    <w:rsid w:val="7A49604F"/>
    <w:rsid w:val="7A5769BE"/>
    <w:rsid w:val="7A637111"/>
    <w:rsid w:val="7A7122B6"/>
    <w:rsid w:val="7A747570"/>
    <w:rsid w:val="7A9B68AB"/>
    <w:rsid w:val="7AAF6B64"/>
    <w:rsid w:val="7AC53928"/>
    <w:rsid w:val="7B4927AB"/>
    <w:rsid w:val="7B66335D"/>
    <w:rsid w:val="7B7517F2"/>
    <w:rsid w:val="7B8E01BE"/>
    <w:rsid w:val="7B9854E0"/>
    <w:rsid w:val="7BB8290C"/>
    <w:rsid w:val="7C1E3C37"/>
    <w:rsid w:val="7C5C650E"/>
    <w:rsid w:val="7C5F1B5A"/>
    <w:rsid w:val="7C9E2682"/>
    <w:rsid w:val="7CB77BE8"/>
    <w:rsid w:val="7CC06A9D"/>
    <w:rsid w:val="7CC55E61"/>
    <w:rsid w:val="7CE04A49"/>
    <w:rsid w:val="7CED53B8"/>
    <w:rsid w:val="7D197F5B"/>
    <w:rsid w:val="7D2A03BA"/>
    <w:rsid w:val="7D80622C"/>
    <w:rsid w:val="7DE72FFE"/>
    <w:rsid w:val="7DF10ED8"/>
    <w:rsid w:val="7E01111B"/>
    <w:rsid w:val="7E124581"/>
    <w:rsid w:val="7E1D3A7B"/>
    <w:rsid w:val="7E394D59"/>
    <w:rsid w:val="7E53749D"/>
    <w:rsid w:val="7E7933A7"/>
    <w:rsid w:val="7E8A55B4"/>
    <w:rsid w:val="7EAA17B2"/>
    <w:rsid w:val="7EAA7A04"/>
    <w:rsid w:val="7EB02B41"/>
    <w:rsid w:val="7EBC14E6"/>
    <w:rsid w:val="7ED44A81"/>
    <w:rsid w:val="7EEF3F71"/>
    <w:rsid w:val="7EFE565A"/>
    <w:rsid w:val="7F192494"/>
    <w:rsid w:val="7F321F26"/>
    <w:rsid w:val="7F370B6C"/>
    <w:rsid w:val="7F402117"/>
    <w:rsid w:val="7F721BA4"/>
    <w:rsid w:val="7F791185"/>
    <w:rsid w:val="7F967F89"/>
    <w:rsid w:val="7FB83A5B"/>
    <w:rsid w:val="7FEA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446" w:firstLineChars="200"/>
      <w:jc w:val="both"/>
    </w:pPr>
    <w:rPr>
      <w:rFonts w:ascii="Calibri" w:hAnsi="Calibri" w:eastAsia="宋体" w:cs="Times New Roman"/>
      <w:kern w:val="2"/>
      <w:sz w:val="24"/>
      <w:szCs w:val="24"/>
      <w:lang w:val="en-US" w:eastAsia="zh-CN" w:bidi="ar-SA"/>
    </w:rPr>
  </w:style>
  <w:style w:type="paragraph" w:styleId="4">
    <w:name w:val="heading 1"/>
    <w:basedOn w:val="1"/>
    <w:next w:val="1"/>
    <w:link w:val="22"/>
    <w:qFormat/>
    <w:uiPriority w:val="0"/>
    <w:pPr>
      <w:keepNext/>
      <w:keepLines/>
      <w:spacing w:beforeLines="0" w:beforeAutospacing="0" w:afterLines="0" w:afterAutospacing="0" w:line="360" w:lineRule="auto"/>
      <w:ind w:firstLine="0" w:firstLineChars="0"/>
      <w:outlineLvl w:val="0"/>
    </w:pPr>
    <w:rPr>
      <w:rFonts w:ascii="Calibri" w:hAnsi="Calibri" w:eastAsia="宋体" w:cs="Times New Roman"/>
      <w:b/>
      <w:kern w:val="44"/>
      <w:sz w:val="44"/>
    </w:rPr>
  </w:style>
  <w:style w:type="paragraph" w:styleId="5">
    <w:name w:val="heading 2"/>
    <w:basedOn w:val="1"/>
    <w:next w:val="1"/>
    <w:link w:val="21"/>
    <w:unhideWhenUsed/>
    <w:qFormat/>
    <w:uiPriority w:val="0"/>
    <w:pPr>
      <w:keepNext/>
      <w:keepLines/>
      <w:spacing w:before="200" w:beforeLines="0" w:beforeAutospacing="0" w:after="200" w:afterLines="0" w:afterAutospacing="0" w:line="360" w:lineRule="auto"/>
      <w:ind w:firstLine="0" w:firstLineChars="0"/>
      <w:outlineLvl w:val="1"/>
    </w:pPr>
    <w:rPr>
      <w:rFonts w:ascii="Arial" w:hAnsi="Arial" w:eastAsia="黑体" w:cs="Times New Roman"/>
      <w:b/>
      <w:sz w:val="32"/>
    </w:rPr>
  </w:style>
  <w:style w:type="paragraph" w:styleId="6">
    <w:name w:val="heading 3"/>
    <w:basedOn w:val="1"/>
    <w:next w:val="1"/>
    <w:semiHidden/>
    <w:unhideWhenUsed/>
    <w:qFormat/>
    <w:uiPriority w:val="0"/>
    <w:pPr>
      <w:keepNext/>
      <w:keepLines/>
      <w:numPr>
        <w:ilvl w:val="2"/>
        <w:numId w:val="1"/>
      </w:numPr>
      <w:spacing w:before="260" w:beforeLines="0" w:after="260" w:afterLines="0" w:line="360" w:lineRule="auto"/>
      <w:ind w:left="0" w:firstLine="0" w:firstLineChars="0"/>
      <w:outlineLvl w:val="2"/>
    </w:pPr>
    <w:rPr>
      <w:rFonts w:ascii="Calibri" w:hAnsi="Calibri" w:eastAsia="宋体" w:cs="Times New Roman"/>
      <w:b/>
      <w:sz w:val="28"/>
    </w:rPr>
  </w:style>
  <w:style w:type="paragraph" w:styleId="7">
    <w:name w:val="heading 4"/>
    <w:basedOn w:val="1"/>
    <w:next w:val="1"/>
    <w:semiHidden/>
    <w:unhideWhenUsed/>
    <w:qFormat/>
    <w:uiPriority w:val="0"/>
    <w:pPr>
      <w:numPr>
        <w:ilvl w:val="3"/>
        <w:numId w:val="1"/>
      </w:numPr>
      <w:ind w:left="864" w:hanging="864" w:firstLineChars="0"/>
      <w:outlineLvl w:val="3"/>
    </w:pPr>
    <w:rPr>
      <w:rFonts w:ascii="宋体" w:hAnsi="宋体" w:eastAsia="宋体" w:cs="宋体"/>
      <w:b/>
      <w:sz w:val="24"/>
    </w:rPr>
  </w:style>
  <w:style w:type="paragraph" w:styleId="8">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9">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1">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cs="Times New Roman"/>
    </w:rPr>
  </w:style>
  <w:style w:type="paragraph" w:styleId="12">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cs="Times New Roman"/>
    </w:rPr>
  </w:style>
  <w:style w:type="character" w:default="1" w:styleId="19">
    <w:name w:val="Default Paragraph Font"/>
    <w:semiHidden/>
    <w:unhideWhenUsed/>
    <w:qFormat/>
    <w:uiPriority w:val="1"/>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13">
    <w:name w:val="Normal Indent"/>
    <w:basedOn w:val="1"/>
    <w:qFormat/>
    <w:uiPriority w:val="0"/>
    <w:pPr>
      <w:ind w:firstLine="420" w:firstLineChars="2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rPr>
      <w:rFonts w:ascii="Times New Roman" w:hAnsi="Times New Roman" w:cs="Times New Roman"/>
      <w:b/>
      <w:sz w:val="24"/>
      <w:szCs w:val="24"/>
    </w:rPr>
  </w:style>
  <w:style w:type="paragraph" w:styleId="17">
    <w:name w:val="toc 2"/>
    <w:basedOn w:val="1"/>
    <w:next w:val="1"/>
    <w:qFormat/>
    <w:uiPriority w:val="0"/>
    <w:pPr>
      <w:snapToGrid w:val="0"/>
      <w:ind w:left="420" w:leftChars="200"/>
    </w:pPr>
    <w:rPr>
      <w:rFonts w:eastAsia="宋体"/>
    </w:rPr>
  </w:style>
  <w:style w:type="paragraph" w:customStyle="1" w:styleId="20">
    <w:name w:val="子系统"/>
    <w:basedOn w:val="1"/>
    <w:next w:val="1"/>
    <w:qFormat/>
    <w:uiPriority w:val="0"/>
    <w:pPr>
      <w:keepNext/>
      <w:keepLines/>
      <w:numPr>
        <w:ilvl w:val="1"/>
        <w:numId w:val="2"/>
      </w:numPr>
      <w:spacing w:before="260" w:beforeLines="0" w:after="260" w:afterLines="0"/>
      <w:ind w:firstLine="0" w:firstLineChars="0"/>
      <w:outlineLvl w:val="1"/>
    </w:pPr>
    <w:rPr>
      <w:rFonts w:ascii="Arial" w:hAnsi="Arial" w:eastAsia="宋体"/>
      <w:b/>
      <w:sz w:val="28"/>
    </w:rPr>
  </w:style>
  <w:style w:type="character" w:customStyle="1" w:styleId="21">
    <w:name w:val="标题 2 字符"/>
    <w:basedOn w:val="19"/>
    <w:link w:val="5"/>
    <w:qFormat/>
    <w:uiPriority w:val="0"/>
    <w:rPr>
      <w:rFonts w:ascii="Arial" w:hAnsi="Arial" w:eastAsia="宋体" w:cs="Times New Roman"/>
      <w:b/>
      <w:bCs/>
      <w:sz w:val="30"/>
      <w:szCs w:val="24"/>
    </w:rPr>
  </w:style>
  <w:style w:type="character" w:customStyle="1" w:styleId="22">
    <w:name w:val="标题 1 Char"/>
    <w:link w:val="4"/>
    <w:autoRedefine/>
    <w:qFormat/>
    <w:uiPriority w:val="0"/>
    <w:rPr>
      <w:rFonts w:ascii="Calibri" w:hAnsi="Calibri" w:eastAsia="宋体" w:cs="Times New Roman"/>
      <w:b/>
      <w:kern w:val="44"/>
      <w:sz w:val="32"/>
      <w:szCs w:val="24"/>
    </w:rPr>
  </w:style>
  <w:style w:type="paragraph" w:customStyle="1" w:styleId="23">
    <w:name w:val="无间隔1"/>
    <w:basedOn w:val="1"/>
    <w:autoRedefine/>
    <w:qFormat/>
    <w:uiPriority w:val="1"/>
    <w:pPr>
      <w:spacing w:line="40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2084</Words>
  <Characters>2158</Characters>
  <Lines>0</Lines>
  <Paragraphs>0</Paragraphs>
  <TotalTime>6</TotalTime>
  <ScaleCrop>false</ScaleCrop>
  <LinksUpToDate>false</LinksUpToDate>
  <CharactersWithSpaces>2205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2023-03-23T01:25:00Z</dcterms:created>
  <dc:creator>WEI</dc:creator>
  <cp:lastModifiedBy>崔志远</cp:lastModifiedBy>
  <dcterms:modified xsi:type="dcterms:W3CDTF">2026-04-13T07:56:03Z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91164BC5BDB247EBBF2DA810EE25FA2F</vt:lpwstr>
  </property>
  <property fmtid="{D5CDD505-2E9C-101B-9397-08002B2CF9AE}" pid="4" name="KSOTemplateDocerSaveRecord">
    <vt:lpwstr>eyJoZGlkIjoiYTc2ZGZiNzZiNDVlOGViOWVmM2JhOTY0NGJkNjUyYzgiLCJ1c2VySWQiOiI1MTkyMTQxMDUifQ==</vt:lpwstr>
  </property>
</Properties>
</file>